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4741"/>
        <w:gridCol w:w="4076"/>
      </w:tblGrid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C2A7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Downey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F25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  <w:r w:rsidR="009C2A73">
              <w:rPr>
                <w:rFonts w:ascii="Arial" w:hAnsi="Arial" w:cs="Arial"/>
              </w:rPr>
              <w:t xml:space="preserve"> 2012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Llanishen, Cardiff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1</w:t>
            </w:r>
            <w:r w:rsidRPr="0062283E">
              <w:rPr>
                <w:rFonts w:ascii="Arial" w:hAnsi="Arial" w:cs="Arial"/>
                <w:vertAlign w:val="superscript"/>
              </w:rPr>
              <w:t>st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2D719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and manufacturing technologies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2</w:t>
            </w:r>
            <w:r w:rsidRPr="0062283E">
              <w:rPr>
                <w:rFonts w:ascii="Arial" w:hAnsi="Arial" w:cs="Arial"/>
                <w:vertAlign w:val="superscript"/>
              </w:rPr>
              <w:t>nd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2D719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Manufacturing technologies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7F6860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W</w:t>
            </w:r>
            <w:r w:rsidR="007A47E4">
              <w:rPr>
                <w:rFonts w:ascii="Arial" w:hAnsi="Arial" w:cs="Arial"/>
              </w:rPr>
              <w:t>oodwork: Cutting, Fixing and Finishing (WK1E3CY003)</w:t>
            </w:r>
          </w:p>
          <w:p w:rsidR="007A47E4" w:rsidRDefault="007A47E4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Woodwork usin</w:t>
            </w:r>
            <w:r w:rsidR="007F6860">
              <w:rPr>
                <w:rFonts w:ascii="Arial" w:hAnsi="Arial" w:cs="Arial"/>
              </w:rPr>
              <w:t>g H</w:t>
            </w:r>
            <w:r>
              <w:rPr>
                <w:rFonts w:ascii="Arial" w:hAnsi="Arial" w:cs="Arial"/>
              </w:rPr>
              <w:t>and Tools (WK21WN001)</w:t>
            </w:r>
          </w:p>
          <w:p w:rsidR="007A47E4" w:rsidRPr="0062283E" w:rsidRDefault="007A47E4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and Maintain Woodwork Tools (WK11QQ002)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7A47E4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MIG Welding (XE32WE006ACA697)</w:t>
            </w:r>
          </w:p>
          <w:p w:rsidR="007A47E4" w:rsidRPr="0062283E" w:rsidRDefault="00B15968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Woodwork: Cutting, Fixi</w:t>
            </w:r>
            <w:r w:rsidR="00822D6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 and Finishing (WK1E2CY003)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Centres in attendance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 Gwent</w:t>
            </w:r>
          </w:p>
          <w:p w:rsidR="005F2519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Neath Port Talbot College</w:t>
            </w:r>
          </w:p>
          <w:p w:rsidR="005F2519" w:rsidRPr="0062283E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Ystrad Mynach Colleg</w:t>
            </w:r>
            <w:r w:rsidR="007A47E4">
              <w:rPr>
                <w:rFonts w:ascii="Arial" w:hAnsi="Arial" w:cs="Arial"/>
              </w:rPr>
              <w:t>e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5F2519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Values in Care</w:t>
            </w:r>
          </w:p>
          <w:p w:rsidR="005F2519" w:rsidRPr="0062283E" w:rsidRDefault="005F2519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Vision 21- </w:t>
            </w:r>
            <w:proofErr w:type="spellStart"/>
            <w:r>
              <w:rPr>
                <w:rFonts w:ascii="Arial" w:hAnsi="Arial" w:cs="Arial"/>
              </w:rPr>
              <w:t>Cyfle</w:t>
            </w:r>
            <w:proofErr w:type="spellEnd"/>
            <w:r>
              <w:rPr>
                <w:rFonts w:ascii="Arial" w:hAnsi="Arial" w:cs="Arial"/>
              </w:rPr>
              <w:t xml:space="preserve"> Cymru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867F2C">
        <w:trPr>
          <w:trHeight w:val="115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822D67" w:rsidRPr="001A2692" w:rsidRDefault="00822D67" w:rsidP="00822D67">
            <w:pPr>
              <w:rPr>
                <w:rFonts w:ascii="Arial" w:hAnsi="Arial" w:cs="Arial"/>
                <w:b/>
              </w:rPr>
            </w:pPr>
            <w:r w:rsidRPr="001A2692">
              <w:rPr>
                <w:rFonts w:ascii="Arial" w:hAnsi="Arial" w:cs="Arial"/>
                <w:b/>
              </w:rPr>
              <w:t>Sample A-</w:t>
            </w:r>
            <w:r w:rsidR="007F6860">
              <w:rPr>
                <w:rFonts w:ascii="Arial" w:hAnsi="Arial" w:cs="Arial"/>
                <w:b/>
              </w:rPr>
              <w:t xml:space="preserve"> Entry Level 3 Introduction to W</w:t>
            </w:r>
            <w:r w:rsidRPr="001A2692">
              <w:rPr>
                <w:rFonts w:ascii="Arial" w:hAnsi="Arial" w:cs="Arial"/>
                <w:b/>
              </w:rPr>
              <w:t>oodwork: Cutting, Fixing and Finishing (WK1E3CY003) 3 credits</w:t>
            </w:r>
          </w:p>
          <w:p w:rsidR="00822D67" w:rsidRDefault="00A80977" w:rsidP="00822D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Photographic evidence i</w:t>
            </w:r>
            <w:r w:rsidR="00822D67">
              <w:rPr>
                <w:rFonts w:ascii="Arial" w:hAnsi="Arial" w:cs="Arial"/>
              </w:rPr>
              <w:t xml:space="preserve">s annotated well by both the </w:t>
            </w:r>
            <w:r w:rsidR="00104D9D">
              <w:rPr>
                <w:rFonts w:ascii="Arial" w:hAnsi="Arial" w:cs="Arial"/>
              </w:rPr>
              <w:t>assessor</w:t>
            </w:r>
            <w:r w:rsidR="00822D67">
              <w:rPr>
                <w:rFonts w:ascii="Arial" w:hAnsi="Arial" w:cs="Arial"/>
              </w:rPr>
              <w:t xml:space="preserve"> and learner.</w:t>
            </w:r>
          </w:p>
          <w:p w:rsidR="001A2692" w:rsidRDefault="001A2692" w:rsidP="001A2692">
            <w:pPr>
              <w:pStyle w:val="ListParagraph"/>
              <w:rPr>
                <w:rFonts w:ascii="Arial" w:hAnsi="Arial" w:cs="Arial"/>
              </w:rPr>
            </w:pPr>
          </w:p>
          <w:p w:rsidR="00822D67" w:rsidRDefault="00A80977" w:rsidP="00822D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22D67">
              <w:rPr>
                <w:rFonts w:ascii="Arial" w:hAnsi="Arial" w:cs="Arial"/>
              </w:rPr>
              <w:t xml:space="preserve"> brief at the front of the workbook explaining the aim of the unit would assist the IV and EV processes.</w:t>
            </w:r>
          </w:p>
          <w:p w:rsidR="001A2692" w:rsidRDefault="001A2692" w:rsidP="001A2692">
            <w:pPr>
              <w:pStyle w:val="ListParagraph"/>
              <w:rPr>
                <w:rFonts w:ascii="Arial" w:hAnsi="Arial" w:cs="Arial"/>
              </w:rPr>
            </w:pPr>
          </w:p>
          <w:p w:rsidR="00822D67" w:rsidRDefault="00822D67" w:rsidP="00822D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delegates questioned if the learner had ‘selected’ tools to meet assessment criteria (AC) 1.2. The delegates agreed that the learner had only identified and not s</w:t>
            </w:r>
            <w:r w:rsidR="001A2692">
              <w:rPr>
                <w:rFonts w:ascii="Arial" w:hAnsi="Arial" w:cs="Arial"/>
              </w:rPr>
              <w:t>elected. The delegates suggested that a witness/tutor statement could be used to clearly meet this AC.</w:t>
            </w:r>
          </w:p>
          <w:p w:rsidR="001A2692" w:rsidRPr="001A2692" w:rsidRDefault="001A2692" w:rsidP="001A2692">
            <w:pPr>
              <w:pStyle w:val="ListParagraph"/>
              <w:rPr>
                <w:rFonts w:ascii="Arial" w:hAnsi="Arial" w:cs="Arial"/>
              </w:rPr>
            </w:pPr>
          </w:p>
          <w:p w:rsidR="001A2692" w:rsidRDefault="001A2692" w:rsidP="00822D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process </w:t>
            </w:r>
            <w:r w:rsidR="00A80977">
              <w:rPr>
                <w:rFonts w:ascii="Arial" w:hAnsi="Arial" w:cs="Arial"/>
              </w:rPr>
              <w:t>took</w:t>
            </w:r>
            <w:r>
              <w:rPr>
                <w:rFonts w:ascii="Arial" w:hAnsi="Arial" w:cs="Arial"/>
              </w:rPr>
              <w:t xml:space="preserve"> place a long time after the assessment for</w:t>
            </w:r>
            <w:r w:rsidR="00A80977">
              <w:rPr>
                <w:rFonts w:ascii="Arial" w:hAnsi="Arial" w:cs="Arial"/>
              </w:rPr>
              <w:t xml:space="preserve"> the unit (3 months) and this i</w:t>
            </w:r>
            <w:r>
              <w:rPr>
                <w:rFonts w:ascii="Arial" w:hAnsi="Arial" w:cs="Arial"/>
              </w:rPr>
              <w:t>s poor IV practice.</w:t>
            </w:r>
          </w:p>
          <w:p w:rsidR="001A2692" w:rsidRPr="001A2692" w:rsidRDefault="001A2692" w:rsidP="001A2692">
            <w:pPr>
              <w:pStyle w:val="ListParagraph"/>
              <w:rPr>
                <w:rFonts w:ascii="Arial" w:hAnsi="Arial" w:cs="Arial"/>
              </w:rPr>
            </w:pPr>
          </w:p>
          <w:p w:rsidR="001A2692" w:rsidRPr="00822D67" w:rsidRDefault="001A2692" w:rsidP="00822D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</w:t>
            </w:r>
            <w:r w:rsidR="00522F00">
              <w:rPr>
                <w:rFonts w:ascii="Arial" w:hAnsi="Arial" w:cs="Arial"/>
              </w:rPr>
              <w:t>agreed</w:t>
            </w:r>
            <w:r>
              <w:rPr>
                <w:rFonts w:ascii="Arial" w:hAnsi="Arial" w:cs="Arial"/>
              </w:rPr>
              <w:t xml:space="preserve"> that the evidence meets the AC for this unit.</w:t>
            </w:r>
          </w:p>
          <w:p w:rsidR="00C8054D" w:rsidRPr="001A2692" w:rsidRDefault="001A2692" w:rsidP="005F2519">
            <w:pPr>
              <w:rPr>
                <w:rFonts w:ascii="Arial" w:hAnsi="Arial" w:cs="Arial"/>
                <w:b/>
              </w:rPr>
            </w:pPr>
            <w:r w:rsidRPr="001A2692">
              <w:rPr>
                <w:rFonts w:ascii="Arial" w:hAnsi="Arial" w:cs="Arial"/>
                <w:b/>
              </w:rPr>
              <w:lastRenderedPageBreak/>
              <w:t>Sample B- Level 1 Introduction to Woodwork using hand Tools (WK21WN001) 3 Credits</w:t>
            </w:r>
          </w:p>
          <w:p w:rsidR="00A31E3A" w:rsidRDefault="00A31E3A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IV evidence was available for this unit.</w:t>
            </w:r>
          </w:p>
          <w:p w:rsid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5F2519" w:rsidRDefault="001A2692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Observation forms are not detailed or specific to the learner and the standard of these is very poor. </w:t>
            </w:r>
          </w:p>
          <w:p w:rsid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Pr="00A31E3A" w:rsidRDefault="00A31E3A" w:rsidP="00A31E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assessor is very limited and is not specific to the learner.</w:t>
            </w:r>
          </w:p>
          <w:p w:rsid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Default="00A31E3A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no evidence included to support that the learner has met many of the AC.</w:t>
            </w:r>
          </w:p>
          <w:p w:rsidR="00A31E3A" w:rsidRP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Default="007F6860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31E3A">
              <w:rPr>
                <w:rFonts w:ascii="Arial" w:hAnsi="Arial" w:cs="Arial"/>
              </w:rPr>
              <w:t>orkbook includes some evidence that is not relevant and does not meet any AC.</w:t>
            </w:r>
          </w:p>
          <w:p w:rsidR="00A31E3A" w:rsidRP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Default="007F6860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31E3A">
              <w:rPr>
                <w:rFonts w:ascii="Arial" w:hAnsi="Arial" w:cs="Arial"/>
              </w:rPr>
              <w:t>vidence is not cross-referenced</w:t>
            </w:r>
            <w:r w:rsidR="00A80977">
              <w:rPr>
                <w:rFonts w:ascii="Arial" w:hAnsi="Arial" w:cs="Arial"/>
              </w:rPr>
              <w:t xml:space="preserve"> to the AC</w:t>
            </w:r>
            <w:r w:rsidR="00A31E3A">
              <w:rPr>
                <w:rFonts w:ascii="Arial" w:hAnsi="Arial" w:cs="Arial"/>
              </w:rPr>
              <w:t>.</w:t>
            </w:r>
          </w:p>
          <w:p w:rsidR="00A31E3A" w:rsidRP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Default="007F6860" w:rsidP="001A269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31E3A">
              <w:rPr>
                <w:rFonts w:ascii="Arial" w:hAnsi="Arial" w:cs="Arial"/>
              </w:rPr>
              <w:t>elegates agreed that the evidence does not meet the AC for this unit.</w:t>
            </w:r>
          </w:p>
          <w:p w:rsidR="00A31E3A" w:rsidRPr="00A31E3A" w:rsidRDefault="00A31E3A" w:rsidP="00A31E3A">
            <w:pPr>
              <w:pStyle w:val="ListParagraph"/>
              <w:rPr>
                <w:rFonts w:ascii="Arial" w:hAnsi="Arial" w:cs="Arial"/>
              </w:rPr>
            </w:pPr>
          </w:p>
          <w:p w:rsidR="00A31E3A" w:rsidRPr="00A31E3A" w:rsidRDefault="00A31E3A" w:rsidP="00A31E3A">
            <w:pPr>
              <w:rPr>
                <w:rFonts w:ascii="Arial" w:hAnsi="Arial" w:cs="Arial"/>
                <w:b/>
              </w:rPr>
            </w:pPr>
            <w:r w:rsidRPr="00A31E3A">
              <w:rPr>
                <w:rFonts w:ascii="Arial" w:hAnsi="Arial" w:cs="Arial"/>
                <w:b/>
              </w:rPr>
              <w:t>Sample C- Level 1 Use and Maintain Woodwork Tools (WK11QQ002) 3 credits</w:t>
            </w:r>
          </w:p>
          <w:p w:rsidR="005F2519" w:rsidRDefault="00280339" w:rsidP="00A31E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of learner evidence is good.</w:t>
            </w:r>
          </w:p>
          <w:p w:rsid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Default="00280339" w:rsidP="0028033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statements are very limited in detail and do not detail what the learner did to meet the AC and how they performed in the observation.</w:t>
            </w:r>
          </w:p>
          <w:p w:rsidR="00280339" w:rsidRP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Pr="00280339" w:rsidRDefault="00280339" w:rsidP="0028033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suggested that photographic evidence would support the evidence provided and would be an effective form of alternative evidence.</w:t>
            </w:r>
          </w:p>
          <w:p w:rsid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Default="00280339" w:rsidP="00A31E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is cross referenced clearly to the AC.</w:t>
            </w:r>
          </w:p>
          <w:p w:rsidR="00280339" w:rsidRP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Default="00280339" w:rsidP="00A31E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is limited in detail.</w:t>
            </w:r>
          </w:p>
          <w:p w:rsidR="00280339" w:rsidRP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Default="00280339" w:rsidP="00A31E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meets the AC for this unit.</w:t>
            </w:r>
          </w:p>
          <w:p w:rsidR="00280339" w:rsidRPr="00280339" w:rsidRDefault="00280339" w:rsidP="00280339">
            <w:pPr>
              <w:pStyle w:val="ListParagraph"/>
              <w:rPr>
                <w:rFonts w:ascii="Arial" w:hAnsi="Arial" w:cs="Arial"/>
              </w:rPr>
            </w:pPr>
          </w:p>
          <w:p w:rsidR="00280339" w:rsidRPr="00337EAA" w:rsidRDefault="00280339" w:rsidP="00280339">
            <w:pPr>
              <w:rPr>
                <w:rFonts w:ascii="Arial" w:hAnsi="Arial" w:cs="Arial"/>
                <w:b/>
              </w:rPr>
            </w:pPr>
            <w:r w:rsidRPr="00337EAA">
              <w:rPr>
                <w:rFonts w:ascii="Arial" w:hAnsi="Arial" w:cs="Arial"/>
                <w:b/>
              </w:rPr>
              <w:t>Sample D-</w:t>
            </w:r>
            <w:r w:rsidR="00337EAA" w:rsidRPr="00337EAA">
              <w:rPr>
                <w:rFonts w:ascii="Arial" w:hAnsi="Arial" w:cs="Arial"/>
                <w:b/>
              </w:rPr>
              <w:t xml:space="preserve"> Level 2</w:t>
            </w:r>
            <w:r w:rsidRPr="00337EAA">
              <w:rPr>
                <w:rFonts w:ascii="Arial" w:hAnsi="Arial" w:cs="Arial"/>
                <w:b/>
              </w:rPr>
              <w:t xml:space="preserve"> Basic MIG Welding (XE32WE006ACA697)</w:t>
            </w:r>
          </w:p>
          <w:p w:rsidR="00280339" w:rsidRDefault="00337EAA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has been internally verified.</w:t>
            </w:r>
          </w:p>
          <w:p w:rsid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37EAA" w:rsidRDefault="00337EAA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Actions </w:t>
            </w:r>
            <w:r w:rsidR="003815E2">
              <w:rPr>
                <w:rFonts w:ascii="Arial" w:hAnsi="Arial" w:cs="Arial"/>
              </w:rPr>
              <w:t>from IV have not been addressed by the tutor or followed up by the IV.</w:t>
            </w:r>
          </w:p>
          <w:p w:rsid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Default="003815E2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Photographic evidence would need to be annotated to explain what is taking place in each picture and how it meets the AC.</w:t>
            </w:r>
          </w:p>
          <w:p w:rsidR="003815E2" w:rsidRP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Default="003815E2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suggested that an individual observation statement would be useful to support that each AC has been met. </w:t>
            </w:r>
          </w:p>
          <w:p w:rsidR="003815E2" w:rsidRP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37EAA" w:rsidRDefault="003815E2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questioned the standard of the learner evidence and if it meets a level 2 standard.</w:t>
            </w:r>
          </w:p>
          <w:p w:rsid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Pr="00337EAA" w:rsidRDefault="003815E2" w:rsidP="00337E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Delegates agreed that it narrowly meets the AC for this unit but requires improvements for future learners.</w:t>
            </w:r>
          </w:p>
          <w:p w:rsidR="005F2519" w:rsidRDefault="005F2519" w:rsidP="005F2519">
            <w:pPr>
              <w:rPr>
                <w:rFonts w:ascii="Arial" w:hAnsi="Arial" w:cs="Arial"/>
              </w:rPr>
            </w:pPr>
          </w:p>
          <w:p w:rsidR="003815E2" w:rsidRPr="003815E2" w:rsidRDefault="003815E2" w:rsidP="005F2519">
            <w:pPr>
              <w:rPr>
                <w:rFonts w:ascii="Arial" w:hAnsi="Arial" w:cs="Arial"/>
                <w:b/>
              </w:rPr>
            </w:pPr>
            <w:r w:rsidRPr="003815E2">
              <w:rPr>
                <w:rFonts w:ascii="Arial" w:hAnsi="Arial" w:cs="Arial"/>
                <w:b/>
              </w:rPr>
              <w:t xml:space="preserve">Sample E- </w:t>
            </w:r>
            <w:r>
              <w:rPr>
                <w:rFonts w:ascii="Arial" w:hAnsi="Arial" w:cs="Arial"/>
                <w:b/>
              </w:rPr>
              <w:t xml:space="preserve">Entry Level 2 </w:t>
            </w:r>
            <w:r w:rsidRPr="003815E2">
              <w:rPr>
                <w:rFonts w:ascii="Arial" w:hAnsi="Arial" w:cs="Arial"/>
                <w:b/>
              </w:rPr>
              <w:t>Introduction to Woodwork: Cutting, Fixing and Finishing (WK1E2CY003) 3 credits</w:t>
            </w:r>
          </w:p>
          <w:p w:rsidR="005F2519" w:rsidRDefault="003815E2" w:rsidP="003815E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is not cross referenced to the AC.</w:t>
            </w:r>
          </w:p>
          <w:p w:rsid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Default="003815E2" w:rsidP="003815E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questioned if the learner in each photograph is the same person.</w:t>
            </w:r>
          </w:p>
          <w:p w:rsid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Default="003815E2" w:rsidP="003815E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evidence does not match the evidence seen as it states that the learner is level 1 when the evidence produced is from an entry level 2 learner.</w:t>
            </w:r>
          </w:p>
          <w:p w:rsidR="003815E2" w:rsidRPr="003815E2" w:rsidRDefault="003815E2" w:rsidP="003815E2">
            <w:pPr>
              <w:pStyle w:val="ListParagraph"/>
              <w:rPr>
                <w:rFonts w:ascii="Arial" w:hAnsi="Arial" w:cs="Arial"/>
              </w:rPr>
            </w:pPr>
          </w:p>
          <w:p w:rsidR="003815E2" w:rsidRDefault="003815E2" w:rsidP="003815E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Photographs </w:t>
            </w:r>
            <w:r w:rsidR="00522F00">
              <w:rPr>
                <w:rFonts w:ascii="Arial" w:hAnsi="Arial" w:cs="Arial"/>
              </w:rPr>
              <w:t>to be annotated to explain what is taking place in each picture and how the learner is meeting the AC.</w:t>
            </w:r>
          </w:p>
          <w:p w:rsidR="00522F00" w:rsidRPr="00522F00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F2519" w:rsidRPr="00522F00" w:rsidRDefault="00522F00" w:rsidP="005F25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does not meet the AC for this unit.</w:t>
            </w:r>
            <w:r>
              <w:t xml:space="preserve"> 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62283E" w:rsidRPr="00867F2C" w:rsidTr="00867F2C">
        <w:tc>
          <w:tcPr>
            <w:tcW w:w="1809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2</w:t>
            </w:r>
          </w:p>
        </w:tc>
        <w:tc>
          <w:tcPr>
            <w:tcW w:w="2268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Evaluating unit (s)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62283E" w:rsidRPr="00867F2C" w:rsidRDefault="00A80977" w:rsidP="00A31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issues were identified.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62283E"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522F00" w:rsidRDefault="00522F00" w:rsidP="00522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examples of good practice identified in these units.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522F00" w:rsidRPr="00522F00" w:rsidRDefault="00522F00" w:rsidP="00522F00">
            <w:pPr>
              <w:rPr>
                <w:rFonts w:ascii="Arial" w:hAnsi="Arial" w:cs="Arial"/>
                <w:b/>
              </w:rPr>
            </w:pPr>
            <w:r w:rsidRPr="001A2692">
              <w:rPr>
                <w:rFonts w:ascii="Arial" w:hAnsi="Arial" w:cs="Arial"/>
                <w:b/>
              </w:rPr>
              <w:t>Sample A- Entry Level 3 Introduction to woodwork: Cutting, Fixing and Finishing (WK1E3CY003) 3 credits</w:t>
            </w:r>
          </w:p>
          <w:p w:rsidR="00522F00" w:rsidRPr="00522F00" w:rsidRDefault="00A80977" w:rsidP="00522F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process took</w:t>
            </w:r>
            <w:r w:rsidR="00522F00">
              <w:rPr>
                <w:rFonts w:ascii="Arial" w:hAnsi="Arial" w:cs="Arial"/>
              </w:rPr>
              <w:t xml:space="preserve"> place a long time after the assessment for</w:t>
            </w:r>
            <w:r>
              <w:rPr>
                <w:rFonts w:ascii="Arial" w:hAnsi="Arial" w:cs="Arial"/>
              </w:rPr>
              <w:t xml:space="preserve"> the unit (3 months) and this i</w:t>
            </w:r>
            <w:r w:rsidR="00522F00">
              <w:rPr>
                <w:rFonts w:ascii="Arial" w:hAnsi="Arial" w:cs="Arial"/>
              </w:rPr>
              <w:t>s poor IV practice.</w:t>
            </w:r>
          </w:p>
          <w:p w:rsidR="00522F00" w:rsidRPr="00522F00" w:rsidRDefault="00522F00" w:rsidP="00522F00">
            <w:pPr>
              <w:rPr>
                <w:rFonts w:ascii="Arial" w:hAnsi="Arial" w:cs="Arial"/>
                <w:b/>
              </w:rPr>
            </w:pPr>
            <w:r w:rsidRPr="001A2692">
              <w:rPr>
                <w:rFonts w:ascii="Arial" w:hAnsi="Arial" w:cs="Arial"/>
                <w:b/>
              </w:rPr>
              <w:t>Sample B- Level 1 Introduction to Woodwork using hand Tools (WK21WN001) 3 Credits</w:t>
            </w:r>
          </w:p>
          <w:p w:rsidR="00522F00" w:rsidRDefault="00522F00" w:rsidP="00522F0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Observation forms are not detailed or specific to the learner and the standard of these is very poor. </w:t>
            </w:r>
          </w:p>
          <w:p w:rsidR="00522F00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Pr="00A31E3A" w:rsidRDefault="00522F00" w:rsidP="00522F0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assessor is very limited and is not specific to the learner.</w:t>
            </w:r>
          </w:p>
          <w:p w:rsidR="00522F00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Pr="00522F00" w:rsidRDefault="00522F00" w:rsidP="00522F0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Insufficient evidence to meet many of the AC.</w:t>
            </w:r>
          </w:p>
          <w:p w:rsidR="00522F00" w:rsidRPr="00A31E3A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Default="007F6860" w:rsidP="00522F0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22F00">
              <w:rPr>
                <w:rFonts w:ascii="Arial" w:hAnsi="Arial" w:cs="Arial"/>
              </w:rPr>
              <w:t>vidence is not cross-referenced.</w:t>
            </w:r>
          </w:p>
          <w:p w:rsidR="00522F00" w:rsidRPr="00A31E3A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Pr="00522F00" w:rsidRDefault="00522F00" w:rsidP="00522F00">
            <w:pPr>
              <w:rPr>
                <w:rFonts w:ascii="Arial" w:hAnsi="Arial" w:cs="Arial"/>
                <w:b/>
              </w:rPr>
            </w:pPr>
            <w:r w:rsidRPr="00A31E3A">
              <w:rPr>
                <w:rFonts w:ascii="Arial" w:hAnsi="Arial" w:cs="Arial"/>
                <w:b/>
              </w:rPr>
              <w:t>Sample C- Level 1 Use and Maintain Woodwork Tools (WK11QQ002) 3 credits</w:t>
            </w:r>
          </w:p>
          <w:p w:rsidR="00522F00" w:rsidRPr="00522F00" w:rsidRDefault="00522F00" w:rsidP="00522F0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statements are very limited in detail.</w:t>
            </w:r>
          </w:p>
          <w:p w:rsidR="00522F00" w:rsidRDefault="00522F00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Default="00522F00" w:rsidP="00522F0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is limited in detail.</w:t>
            </w:r>
          </w:p>
          <w:p w:rsidR="008A79B2" w:rsidRDefault="008A79B2" w:rsidP="00522F00">
            <w:pPr>
              <w:pStyle w:val="ListParagraph"/>
              <w:rPr>
                <w:rFonts w:ascii="Arial" w:hAnsi="Arial" w:cs="Arial"/>
              </w:rPr>
            </w:pPr>
          </w:p>
          <w:p w:rsidR="00522F00" w:rsidRPr="00522F00" w:rsidRDefault="00522F00" w:rsidP="00522F00">
            <w:pPr>
              <w:rPr>
                <w:rFonts w:ascii="Arial" w:hAnsi="Arial" w:cs="Arial"/>
                <w:b/>
              </w:rPr>
            </w:pPr>
            <w:r w:rsidRPr="00337EAA">
              <w:rPr>
                <w:rFonts w:ascii="Arial" w:hAnsi="Arial" w:cs="Arial"/>
                <w:b/>
              </w:rPr>
              <w:t>Sample D- Level 2 Basic MIG Welding (XE32WE006ACA697)</w:t>
            </w:r>
          </w:p>
          <w:p w:rsidR="00A80977" w:rsidRDefault="00522F00" w:rsidP="00A809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from IV have not been addressed by the tutor or followed up by the IV.</w:t>
            </w:r>
          </w:p>
          <w:p w:rsidR="00A80977" w:rsidRDefault="00A80977" w:rsidP="00A80977">
            <w:pPr>
              <w:pStyle w:val="ListParagraph"/>
              <w:rPr>
                <w:rFonts w:ascii="Arial" w:hAnsi="Arial" w:cs="Arial"/>
              </w:rPr>
            </w:pPr>
          </w:p>
          <w:p w:rsidR="00A80977" w:rsidRDefault="00522F00" w:rsidP="00A809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977">
              <w:rPr>
                <w:rFonts w:ascii="Arial" w:hAnsi="Arial" w:cs="Arial"/>
              </w:rPr>
              <w:t>Delegates questioned the standard of the learner evidence and if it meets a level 2 standard.</w:t>
            </w:r>
          </w:p>
          <w:p w:rsidR="00A80977" w:rsidRPr="00A80977" w:rsidRDefault="00A80977" w:rsidP="00A80977">
            <w:pPr>
              <w:pStyle w:val="ListParagraph"/>
              <w:rPr>
                <w:rFonts w:ascii="Arial" w:hAnsi="Arial" w:cs="Arial"/>
                <w:b/>
              </w:rPr>
            </w:pPr>
          </w:p>
          <w:p w:rsidR="00A80977" w:rsidRPr="00A80977" w:rsidRDefault="00A80977" w:rsidP="00A80977">
            <w:pPr>
              <w:rPr>
                <w:rFonts w:ascii="Arial" w:hAnsi="Arial" w:cs="Arial"/>
              </w:rPr>
            </w:pPr>
            <w:r w:rsidRPr="00A80977">
              <w:rPr>
                <w:rFonts w:ascii="Arial" w:hAnsi="Arial" w:cs="Arial"/>
                <w:b/>
              </w:rPr>
              <w:t>Sample E- Entry Level 2 Introduction to Woodwork: Cutting, Fixing and Finishing (WK1E2CY003) 3 credits</w:t>
            </w:r>
          </w:p>
          <w:p w:rsidR="00A80977" w:rsidRPr="00A80977" w:rsidRDefault="00A80977" w:rsidP="00A809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is not cross referenced to the AC.</w:t>
            </w:r>
          </w:p>
          <w:p w:rsidR="00A80977" w:rsidRPr="003815E2" w:rsidRDefault="00A80977" w:rsidP="00A80977">
            <w:pPr>
              <w:pStyle w:val="ListParagraph"/>
              <w:rPr>
                <w:rFonts w:ascii="Arial" w:hAnsi="Arial" w:cs="Arial"/>
              </w:rPr>
            </w:pPr>
          </w:p>
          <w:p w:rsidR="00522F00" w:rsidRPr="007F6860" w:rsidRDefault="00A80977" w:rsidP="00522F0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Photographs not annotated.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62283E" w:rsidRDefault="00FB061C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actions identified</w:t>
            </w:r>
          </w:p>
          <w:p w:rsidR="008A79B2" w:rsidRPr="0062283E" w:rsidRDefault="008A79B2" w:rsidP="00980FD2">
            <w:pPr>
              <w:spacing w:line="240" w:lineRule="auto"/>
              <w:rPr>
                <w:rFonts w:ascii="Arial" w:hAnsi="Arial" w:cs="Arial"/>
              </w:rPr>
            </w:pPr>
          </w:p>
          <w:p w:rsidR="0062283E" w:rsidRPr="0062283E" w:rsidRDefault="0062283E" w:rsidP="00980FD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sectPr w:rsidR="008A79B2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77" w:rsidRDefault="00A80977" w:rsidP="00D15836">
      <w:pPr>
        <w:spacing w:after="0" w:line="240" w:lineRule="auto"/>
      </w:pPr>
      <w:r>
        <w:separator/>
      </w:r>
    </w:p>
  </w:endnote>
  <w:endnote w:type="continuationSeparator" w:id="0">
    <w:p w:rsidR="00A80977" w:rsidRDefault="00A80977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77" w:rsidRDefault="00A80977" w:rsidP="00D15836">
      <w:pPr>
        <w:spacing w:after="0" w:line="240" w:lineRule="auto"/>
      </w:pPr>
      <w:r>
        <w:separator/>
      </w:r>
    </w:p>
  </w:footnote>
  <w:footnote w:type="continuationSeparator" w:id="0">
    <w:p w:rsidR="00A80977" w:rsidRDefault="00A80977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A80977" w:rsidTr="007A5934">
      <w:trPr>
        <w:trHeight w:val="507"/>
      </w:trPr>
      <w:tc>
        <w:tcPr>
          <w:tcW w:w="773" w:type="dxa"/>
          <w:vAlign w:val="center"/>
        </w:tcPr>
        <w:p w:rsidR="00A80977" w:rsidRPr="00312DA5" w:rsidRDefault="00A80977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A80977" w:rsidRDefault="00D9243E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A80977" w:rsidRDefault="00A80977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E1C"/>
    <w:multiLevelType w:val="hybridMultilevel"/>
    <w:tmpl w:val="B5E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5C5E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6842"/>
    <w:multiLevelType w:val="hybridMultilevel"/>
    <w:tmpl w:val="CF545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1C76"/>
    <w:multiLevelType w:val="hybridMultilevel"/>
    <w:tmpl w:val="56963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A730B"/>
    <w:multiLevelType w:val="hybridMultilevel"/>
    <w:tmpl w:val="12BAE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69CF"/>
    <w:multiLevelType w:val="hybridMultilevel"/>
    <w:tmpl w:val="E3142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7113"/>
    <w:multiLevelType w:val="hybridMultilevel"/>
    <w:tmpl w:val="BCD2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76292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476C3"/>
    <w:multiLevelType w:val="hybridMultilevel"/>
    <w:tmpl w:val="9648D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A0F2E"/>
    <w:multiLevelType w:val="hybridMultilevel"/>
    <w:tmpl w:val="1FD6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32B8B"/>
    <w:multiLevelType w:val="hybridMultilevel"/>
    <w:tmpl w:val="CE68E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F7DF6"/>
    <w:multiLevelType w:val="hybridMultilevel"/>
    <w:tmpl w:val="46F0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06332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46D4"/>
    <w:multiLevelType w:val="hybridMultilevel"/>
    <w:tmpl w:val="B3C2B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F2C68"/>
    <w:multiLevelType w:val="hybridMultilevel"/>
    <w:tmpl w:val="17080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23E72"/>
    <w:multiLevelType w:val="hybridMultilevel"/>
    <w:tmpl w:val="F2E4C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015DD"/>
    <w:multiLevelType w:val="hybridMultilevel"/>
    <w:tmpl w:val="65D63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D6D85"/>
    <w:multiLevelType w:val="hybridMultilevel"/>
    <w:tmpl w:val="D1B45C56"/>
    <w:lvl w:ilvl="0" w:tplc="AD5E7B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25516"/>
    <w:multiLevelType w:val="hybridMultilevel"/>
    <w:tmpl w:val="4B6A8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D7EB6"/>
    <w:multiLevelType w:val="hybridMultilevel"/>
    <w:tmpl w:val="88F8F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71C8F"/>
    <w:multiLevelType w:val="hybridMultilevel"/>
    <w:tmpl w:val="43CC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3179A"/>
    <w:multiLevelType w:val="hybridMultilevel"/>
    <w:tmpl w:val="12BAE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037"/>
    <w:multiLevelType w:val="hybridMultilevel"/>
    <w:tmpl w:val="CD04B974"/>
    <w:lvl w:ilvl="0" w:tplc="AA5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5135FC"/>
    <w:multiLevelType w:val="hybridMultilevel"/>
    <w:tmpl w:val="E454F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F2BA2"/>
    <w:multiLevelType w:val="hybridMultilevel"/>
    <w:tmpl w:val="1FD6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61933"/>
    <w:multiLevelType w:val="hybridMultilevel"/>
    <w:tmpl w:val="4B6A8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E0E33"/>
    <w:multiLevelType w:val="hybridMultilevel"/>
    <w:tmpl w:val="F578B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542CF"/>
    <w:multiLevelType w:val="hybridMultilevel"/>
    <w:tmpl w:val="8024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C032C"/>
    <w:multiLevelType w:val="hybridMultilevel"/>
    <w:tmpl w:val="B5E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B7AE8"/>
    <w:multiLevelType w:val="hybridMultilevel"/>
    <w:tmpl w:val="8970F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4"/>
  </w:num>
  <w:num w:numId="5">
    <w:abstractNumId w:val="10"/>
  </w:num>
  <w:num w:numId="6">
    <w:abstractNumId w:val="20"/>
  </w:num>
  <w:num w:numId="7">
    <w:abstractNumId w:val="19"/>
  </w:num>
  <w:num w:numId="8">
    <w:abstractNumId w:val="26"/>
  </w:num>
  <w:num w:numId="9">
    <w:abstractNumId w:val="27"/>
  </w:num>
  <w:num w:numId="10">
    <w:abstractNumId w:val="11"/>
  </w:num>
  <w:num w:numId="11">
    <w:abstractNumId w:val="15"/>
  </w:num>
  <w:num w:numId="12">
    <w:abstractNumId w:val="22"/>
  </w:num>
  <w:num w:numId="13">
    <w:abstractNumId w:val="8"/>
  </w:num>
  <w:num w:numId="14">
    <w:abstractNumId w:val="23"/>
  </w:num>
  <w:num w:numId="15">
    <w:abstractNumId w:val="6"/>
  </w:num>
  <w:num w:numId="16">
    <w:abstractNumId w:val="29"/>
  </w:num>
  <w:num w:numId="17">
    <w:abstractNumId w:val="3"/>
  </w:num>
  <w:num w:numId="18">
    <w:abstractNumId w:val="17"/>
  </w:num>
  <w:num w:numId="19">
    <w:abstractNumId w:val="5"/>
  </w:num>
  <w:num w:numId="20">
    <w:abstractNumId w:val="18"/>
  </w:num>
  <w:num w:numId="21">
    <w:abstractNumId w:val="0"/>
  </w:num>
  <w:num w:numId="22">
    <w:abstractNumId w:val="1"/>
  </w:num>
  <w:num w:numId="23">
    <w:abstractNumId w:val="4"/>
  </w:num>
  <w:num w:numId="24">
    <w:abstractNumId w:val="9"/>
  </w:num>
  <w:num w:numId="25">
    <w:abstractNumId w:val="12"/>
  </w:num>
  <w:num w:numId="26">
    <w:abstractNumId w:val="25"/>
  </w:num>
  <w:num w:numId="27">
    <w:abstractNumId w:val="28"/>
  </w:num>
  <w:num w:numId="28">
    <w:abstractNumId w:val="7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84ACA"/>
    <w:rsid w:val="000B3FAB"/>
    <w:rsid w:val="000D6F15"/>
    <w:rsid w:val="000E5176"/>
    <w:rsid w:val="000F4C64"/>
    <w:rsid w:val="000F5142"/>
    <w:rsid w:val="00104D9D"/>
    <w:rsid w:val="001A0D86"/>
    <w:rsid w:val="001A2692"/>
    <w:rsid w:val="001B33D1"/>
    <w:rsid w:val="001C399F"/>
    <w:rsid w:val="001E3F36"/>
    <w:rsid w:val="00212EF0"/>
    <w:rsid w:val="00252173"/>
    <w:rsid w:val="00255F14"/>
    <w:rsid w:val="00280339"/>
    <w:rsid w:val="002A6EB5"/>
    <w:rsid w:val="002D7193"/>
    <w:rsid w:val="002E4FAA"/>
    <w:rsid w:val="002F7378"/>
    <w:rsid w:val="00312DA5"/>
    <w:rsid w:val="00337EAA"/>
    <w:rsid w:val="00341656"/>
    <w:rsid w:val="00347C61"/>
    <w:rsid w:val="003766C3"/>
    <w:rsid w:val="003815E2"/>
    <w:rsid w:val="00382B4C"/>
    <w:rsid w:val="003A70E8"/>
    <w:rsid w:val="003D3DF2"/>
    <w:rsid w:val="003E5B48"/>
    <w:rsid w:val="003F4215"/>
    <w:rsid w:val="0042482B"/>
    <w:rsid w:val="00446536"/>
    <w:rsid w:val="00466AA4"/>
    <w:rsid w:val="004A4D78"/>
    <w:rsid w:val="004C05F1"/>
    <w:rsid w:val="004C4BC1"/>
    <w:rsid w:val="004E2ED4"/>
    <w:rsid w:val="00515DAA"/>
    <w:rsid w:val="00522F00"/>
    <w:rsid w:val="005454C8"/>
    <w:rsid w:val="005C7325"/>
    <w:rsid w:val="005E19C1"/>
    <w:rsid w:val="005F2519"/>
    <w:rsid w:val="005F3E5E"/>
    <w:rsid w:val="00611DF2"/>
    <w:rsid w:val="00621438"/>
    <w:rsid w:val="0062283E"/>
    <w:rsid w:val="0063609D"/>
    <w:rsid w:val="00642B84"/>
    <w:rsid w:val="00653698"/>
    <w:rsid w:val="00665437"/>
    <w:rsid w:val="00665CDF"/>
    <w:rsid w:val="0068018C"/>
    <w:rsid w:val="006856D6"/>
    <w:rsid w:val="006B6456"/>
    <w:rsid w:val="00774180"/>
    <w:rsid w:val="00797820"/>
    <w:rsid w:val="007A47E4"/>
    <w:rsid w:val="007A5934"/>
    <w:rsid w:val="007F3101"/>
    <w:rsid w:val="007F6860"/>
    <w:rsid w:val="008142EF"/>
    <w:rsid w:val="008145D5"/>
    <w:rsid w:val="00814A01"/>
    <w:rsid w:val="0081788B"/>
    <w:rsid w:val="00822D67"/>
    <w:rsid w:val="00867F2C"/>
    <w:rsid w:val="008A79B2"/>
    <w:rsid w:val="008D7D48"/>
    <w:rsid w:val="008E234E"/>
    <w:rsid w:val="008E2D6D"/>
    <w:rsid w:val="008E2E00"/>
    <w:rsid w:val="009624AF"/>
    <w:rsid w:val="00980FD2"/>
    <w:rsid w:val="009C2A73"/>
    <w:rsid w:val="009F57B4"/>
    <w:rsid w:val="00A228EA"/>
    <w:rsid w:val="00A27564"/>
    <w:rsid w:val="00A31E3A"/>
    <w:rsid w:val="00A80977"/>
    <w:rsid w:val="00A96FE0"/>
    <w:rsid w:val="00AB67C2"/>
    <w:rsid w:val="00B15968"/>
    <w:rsid w:val="00B30F10"/>
    <w:rsid w:val="00B6257D"/>
    <w:rsid w:val="00B83002"/>
    <w:rsid w:val="00B8469D"/>
    <w:rsid w:val="00B857A8"/>
    <w:rsid w:val="00BA3A45"/>
    <w:rsid w:val="00BA7CF0"/>
    <w:rsid w:val="00BD70BD"/>
    <w:rsid w:val="00BF1F64"/>
    <w:rsid w:val="00C23C64"/>
    <w:rsid w:val="00C402BF"/>
    <w:rsid w:val="00C52FD6"/>
    <w:rsid w:val="00C80030"/>
    <w:rsid w:val="00C8054D"/>
    <w:rsid w:val="00C853CB"/>
    <w:rsid w:val="00CE4084"/>
    <w:rsid w:val="00CF265C"/>
    <w:rsid w:val="00D15836"/>
    <w:rsid w:val="00D218C3"/>
    <w:rsid w:val="00D232C7"/>
    <w:rsid w:val="00D24B36"/>
    <w:rsid w:val="00D36D26"/>
    <w:rsid w:val="00D670E9"/>
    <w:rsid w:val="00D85609"/>
    <w:rsid w:val="00D9243E"/>
    <w:rsid w:val="00DA631B"/>
    <w:rsid w:val="00DB2C31"/>
    <w:rsid w:val="00DB74B2"/>
    <w:rsid w:val="00DC4D41"/>
    <w:rsid w:val="00DF1453"/>
    <w:rsid w:val="00E40196"/>
    <w:rsid w:val="00E412BD"/>
    <w:rsid w:val="00E54E40"/>
    <w:rsid w:val="00E60023"/>
    <w:rsid w:val="00E72472"/>
    <w:rsid w:val="00E82088"/>
    <w:rsid w:val="00E85A07"/>
    <w:rsid w:val="00EC34E8"/>
    <w:rsid w:val="00ED1C99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B061C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1</TotalTime>
  <Pages>4</Pages>
  <Words>752</Words>
  <Characters>4292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2010-09-28T15:31:00Z</cp:lastPrinted>
  <dcterms:created xsi:type="dcterms:W3CDTF">2012-04-18T09:00:00Z</dcterms:created>
  <dcterms:modified xsi:type="dcterms:W3CDTF">2012-04-18T09:00:00Z</dcterms:modified>
</cp:coreProperties>
</file>