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13" w:rsidRPr="00EC4E11" w:rsidRDefault="00394A88" w:rsidP="001A0313">
      <w:pPr>
        <w:rPr>
          <w:sz w:val="56"/>
          <w:szCs w:val="56"/>
          <w:lang w:eastAsia="en-US"/>
        </w:rPr>
      </w:pPr>
      <w:r>
        <w:rPr>
          <w:noProof/>
          <w:sz w:val="56"/>
          <w:szCs w:val="56"/>
        </w:rPr>
        <w:drawing>
          <wp:anchor distT="0" distB="0" distL="114300" distR="114300" simplePos="0" relativeHeight="251657728" behindDoc="0" locked="0" layoutInCell="1" allowOverlap="1">
            <wp:simplePos x="0" y="0"/>
            <wp:positionH relativeFrom="column">
              <wp:posOffset>3393440</wp:posOffset>
            </wp:positionH>
            <wp:positionV relativeFrom="paragraph">
              <wp:posOffset>-720090</wp:posOffset>
            </wp:positionV>
            <wp:extent cx="3152775" cy="1685925"/>
            <wp:effectExtent l="19050" t="0" r="9525" b="0"/>
            <wp:wrapSquare wrapText="bothSides"/>
            <wp:docPr id="51" name="Picture 51" descr="top left logo for wales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op left logo for wales in exclusion zone"/>
                    <pic:cNvPicPr>
                      <a:picLocks noChangeAspect="1" noChangeArrowheads="1"/>
                    </pic:cNvPicPr>
                  </pic:nvPicPr>
                  <pic:blipFill>
                    <a:blip r:embed="rId8" cstate="print"/>
                    <a:srcRect/>
                    <a:stretch>
                      <a:fillRect/>
                    </a:stretch>
                  </pic:blipFill>
                  <pic:spPr bwMode="auto">
                    <a:xfrm>
                      <a:off x="0" y="0"/>
                      <a:ext cx="3152775" cy="1685925"/>
                    </a:xfrm>
                    <a:prstGeom prst="rect">
                      <a:avLst/>
                    </a:prstGeom>
                    <a:noFill/>
                    <a:ln w="9525">
                      <a:noFill/>
                      <a:miter lim="800000"/>
                      <a:headEnd/>
                      <a:tailEnd/>
                    </a:ln>
                  </pic:spPr>
                </pic:pic>
              </a:graphicData>
            </a:graphic>
          </wp:anchor>
        </w:drawing>
      </w:r>
      <w:r w:rsidR="001A0313" w:rsidRPr="00EC4E11">
        <w:rPr>
          <w:sz w:val="56"/>
          <w:szCs w:val="56"/>
          <w:lang w:eastAsia="en-US"/>
        </w:rPr>
        <w:t>Bulletin</w:t>
      </w:r>
    </w:p>
    <w:tbl>
      <w:tblPr>
        <w:tblW w:w="10206" w:type="dxa"/>
        <w:tblCellMar>
          <w:left w:w="0" w:type="dxa"/>
          <w:right w:w="0" w:type="dxa"/>
        </w:tblCellMar>
        <w:tblLook w:val="01E0"/>
      </w:tblPr>
      <w:tblGrid>
        <w:gridCol w:w="3261"/>
        <w:gridCol w:w="6945"/>
      </w:tblGrid>
      <w:tr w:rsidR="001A0313" w:rsidRPr="001A0313" w:rsidTr="00A01910">
        <w:trPr>
          <w:trHeight w:val="285"/>
        </w:trPr>
        <w:tc>
          <w:tcPr>
            <w:tcW w:w="3261" w:type="dxa"/>
            <w:vAlign w:val="bottom"/>
          </w:tcPr>
          <w:p w:rsidR="00E703E4" w:rsidRPr="00A01910" w:rsidRDefault="001A0313" w:rsidP="001A0313">
            <w:pPr>
              <w:rPr>
                <w:sz w:val="22"/>
                <w:szCs w:val="22"/>
                <w:lang w:eastAsia="en-US"/>
              </w:rPr>
            </w:pPr>
            <w:r>
              <w:rPr>
                <w:lang w:eastAsia="en-US"/>
              </w:rPr>
              <w:t> </w:t>
            </w:r>
          </w:p>
          <w:p w:rsidR="001A0313" w:rsidRPr="00A01910" w:rsidRDefault="001A0313" w:rsidP="001A0313">
            <w:pPr>
              <w:rPr>
                <w:sz w:val="22"/>
                <w:szCs w:val="22"/>
                <w:lang w:eastAsia="en-US"/>
              </w:rPr>
            </w:pPr>
            <w:r w:rsidRPr="00A01910">
              <w:rPr>
                <w:sz w:val="22"/>
                <w:szCs w:val="22"/>
                <w:lang w:eastAsia="en-US"/>
              </w:rPr>
              <w:t>Date of issue:</w:t>
            </w:r>
          </w:p>
        </w:tc>
        <w:tc>
          <w:tcPr>
            <w:tcW w:w="6945" w:type="dxa"/>
            <w:tcBorders>
              <w:bottom w:val="single" w:sz="4" w:space="0" w:color="auto"/>
            </w:tcBorders>
            <w:vAlign w:val="bottom"/>
          </w:tcPr>
          <w:p w:rsidR="001A0313" w:rsidRPr="00A01910" w:rsidRDefault="004E225F" w:rsidP="009F157F">
            <w:pPr>
              <w:rPr>
                <w:sz w:val="22"/>
                <w:szCs w:val="22"/>
                <w:lang w:eastAsia="en-US"/>
              </w:rPr>
            </w:pPr>
            <w:r>
              <w:rPr>
                <w:sz w:val="22"/>
                <w:szCs w:val="22"/>
                <w:lang w:eastAsia="en-US"/>
              </w:rPr>
              <w:t>31 January 2012</w:t>
            </w:r>
          </w:p>
        </w:tc>
      </w:tr>
      <w:tr w:rsidR="001A0313" w:rsidRPr="001A0313" w:rsidTr="00A01910">
        <w:trPr>
          <w:trHeight w:val="267"/>
        </w:trPr>
        <w:tc>
          <w:tcPr>
            <w:tcW w:w="3261" w:type="dxa"/>
            <w:vAlign w:val="bottom"/>
          </w:tcPr>
          <w:p w:rsidR="001A0313" w:rsidRPr="00A01910" w:rsidRDefault="001A0313" w:rsidP="001A0313">
            <w:pPr>
              <w:rPr>
                <w:sz w:val="22"/>
                <w:szCs w:val="22"/>
                <w:lang w:eastAsia="en-US"/>
              </w:rPr>
            </w:pPr>
            <w:r w:rsidRPr="00A01910">
              <w:rPr>
                <w:sz w:val="22"/>
                <w:szCs w:val="22"/>
                <w:lang w:eastAsia="en-US"/>
              </w:rPr>
              <w:t>Sent to:</w:t>
            </w:r>
          </w:p>
        </w:tc>
        <w:tc>
          <w:tcPr>
            <w:tcW w:w="6945" w:type="dxa"/>
            <w:tcBorders>
              <w:top w:val="single" w:sz="4" w:space="0" w:color="auto"/>
              <w:bottom w:val="single" w:sz="4" w:space="0" w:color="auto"/>
            </w:tcBorders>
            <w:vAlign w:val="bottom"/>
          </w:tcPr>
          <w:p w:rsidR="001A0313" w:rsidRDefault="00701642" w:rsidP="001A0313">
            <w:pPr>
              <w:rPr>
                <w:sz w:val="22"/>
                <w:szCs w:val="22"/>
                <w:lang w:eastAsia="en-US"/>
              </w:rPr>
            </w:pPr>
            <w:r>
              <w:rPr>
                <w:sz w:val="22"/>
                <w:szCs w:val="22"/>
                <w:lang w:eastAsia="en-US"/>
              </w:rPr>
              <w:t>Access to HE coordinators, curriculum contact, quality contacts in centres that offer Access to HE provision.</w:t>
            </w:r>
          </w:p>
          <w:p w:rsidR="00701642" w:rsidRPr="00A01910" w:rsidRDefault="00701642" w:rsidP="001A0313">
            <w:pPr>
              <w:rPr>
                <w:sz w:val="22"/>
                <w:szCs w:val="22"/>
                <w:lang w:eastAsia="en-US"/>
              </w:rPr>
            </w:pPr>
            <w:r>
              <w:rPr>
                <w:sz w:val="22"/>
                <w:szCs w:val="22"/>
                <w:lang w:eastAsia="en-US"/>
              </w:rPr>
              <w:t>HEI admissions tutors</w:t>
            </w:r>
          </w:p>
        </w:tc>
      </w:tr>
      <w:tr w:rsidR="001A0313" w:rsidRPr="001A0313" w:rsidTr="00A01910">
        <w:trPr>
          <w:trHeight w:val="285"/>
        </w:trPr>
        <w:tc>
          <w:tcPr>
            <w:tcW w:w="3261" w:type="dxa"/>
            <w:vAlign w:val="bottom"/>
          </w:tcPr>
          <w:p w:rsidR="001A0313" w:rsidRPr="00A01910" w:rsidRDefault="001A0313" w:rsidP="001A0313">
            <w:pPr>
              <w:rPr>
                <w:sz w:val="22"/>
                <w:szCs w:val="22"/>
                <w:lang w:eastAsia="en-US"/>
              </w:rPr>
            </w:pPr>
            <w:r w:rsidRPr="00A01910">
              <w:rPr>
                <w:sz w:val="22"/>
                <w:szCs w:val="22"/>
                <w:lang w:eastAsia="en-US"/>
              </w:rPr>
              <w:t>For further distribution to:</w:t>
            </w:r>
          </w:p>
        </w:tc>
        <w:tc>
          <w:tcPr>
            <w:tcW w:w="6945" w:type="dxa"/>
            <w:tcBorders>
              <w:top w:val="single" w:sz="4" w:space="0" w:color="auto"/>
              <w:bottom w:val="single" w:sz="4" w:space="0" w:color="auto"/>
            </w:tcBorders>
            <w:vAlign w:val="bottom"/>
          </w:tcPr>
          <w:p w:rsidR="001A0313" w:rsidRPr="00A01910" w:rsidRDefault="00701642" w:rsidP="001A0313">
            <w:pPr>
              <w:rPr>
                <w:sz w:val="22"/>
                <w:szCs w:val="22"/>
                <w:lang w:eastAsia="en-US"/>
              </w:rPr>
            </w:pPr>
            <w:r>
              <w:rPr>
                <w:sz w:val="22"/>
                <w:szCs w:val="22"/>
                <w:lang w:eastAsia="en-US"/>
              </w:rPr>
              <w:t xml:space="preserve">Other centre staff </w:t>
            </w:r>
          </w:p>
        </w:tc>
      </w:tr>
      <w:tr w:rsidR="001A0313" w:rsidRPr="001A0313" w:rsidTr="00A01910">
        <w:trPr>
          <w:trHeight w:val="267"/>
        </w:trPr>
        <w:tc>
          <w:tcPr>
            <w:tcW w:w="3261" w:type="dxa"/>
            <w:vAlign w:val="bottom"/>
          </w:tcPr>
          <w:p w:rsidR="001A0313" w:rsidRPr="00A01910" w:rsidRDefault="001A0313" w:rsidP="001A0313">
            <w:pPr>
              <w:rPr>
                <w:sz w:val="22"/>
                <w:szCs w:val="22"/>
                <w:lang w:eastAsia="en-US"/>
              </w:rPr>
            </w:pPr>
            <w:r w:rsidRPr="00A01910">
              <w:rPr>
                <w:sz w:val="22"/>
                <w:szCs w:val="22"/>
                <w:lang w:eastAsia="en-US"/>
              </w:rPr>
              <w:t>Action required:</w:t>
            </w:r>
          </w:p>
        </w:tc>
        <w:tc>
          <w:tcPr>
            <w:tcW w:w="6945" w:type="dxa"/>
            <w:tcBorders>
              <w:top w:val="single" w:sz="4" w:space="0" w:color="auto"/>
              <w:bottom w:val="single" w:sz="4" w:space="0" w:color="auto"/>
            </w:tcBorders>
            <w:vAlign w:val="bottom"/>
          </w:tcPr>
          <w:p w:rsidR="001A0313" w:rsidRPr="00A01910" w:rsidRDefault="00701642" w:rsidP="001A0313">
            <w:pPr>
              <w:rPr>
                <w:sz w:val="22"/>
                <w:szCs w:val="22"/>
                <w:lang w:eastAsia="en-US"/>
              </w:rPr>
            </w:pPr>
            <w:r>
              <w:rPr>
                <w:sz w:val="22"/>
                <w:szCs w:val="22"/>
                <w:lang w:eastAsia="en-US"/>
              </w:rPr>
              <w:t>None</w:t>
            </w:r>
          </w:p>
        </w:tc>
      </w:tr>
      <w:tr w:rsidR="001A0313" w:rsidRPr="001A0313" w:rsidTr="00A01910">
        <w:trPr>
          <w:trHeight w:val="301"/>
        </w:trPr>
        <w:tc>
          <w:tcPr>
            <w:tcW w:w="3261" w:type="dxa"/>
            <w:vAlign w:val="bottom"/>
          </w:tcPr>
          <w:p w:rsidR="001A0313" w:rsidRPr="00A01910" w:rsidRDefault="001A0313" w:rsidP="001A0313">
            <w:pPr>
              <w:rPr>
                <w:sz w:val="22"/>
                <w:szCs w:val="22"/>
                <w:lang w:eastAsia="en-US"/>
              </w:rPr>
            </w:pPr>
            <w:r w:rsidRPr="00A01910">
              <w:rPr>
                <w:sz w:val="22"/>
                <w:szCs w:val="22"/>
                <w:lang w:eastAsia="en-US"/>
              </w:rPr>
              <w:t>For further information contact:</w:t>
            </w:r>
          </w:p>
        </w:tc>
        <w:tc>
          <w:tcPr>
            <w:tcW w:w="6945" w:type="dxa"/>
            <w:tcBorders>
              <w:top w:val="single" w:sz="4" w:space="0" w:color="auto"/>
              <w:bottom w:val="single" w:sz="4" w:space="0" w:color="auto"/>
            </w:tcBorders>
            <w:vAlign w:val="bottom"/>
          </w:tcPr>
          <w:p w:rsidR="008967BF" w:rsidRPr="008967BF" w:rsidRDefault="008967BF" w:rsidP="001A0313">
            <w:pPr>
              <w:rPr>
                <w:sz w:val="22"/>
                <w:szCs w:val="22"/>
                <w:u w:val="single"/>
                <w:lang w:eastAsia="en-US"/>
              </w:rPr>
            </w:pPr>
            <w:r>
              <w:rPr>
                <w:sz w:val="22"/>
                <w:szCs w:val="22"/>
                <w:lang w:eastAsia="en-US"/>
              </w:rPr>
              <w:t xml:space="preserve">Laura </w:t>
            </w:r>
            <w:r>
              <w:rPr>
                <w:sz w:val="22"/>
                <w:szCs w:val="22"/>
                <w:u w:val="single"/>
                <w:lang w:eastAsia="en-US"/>
              </w:rPr>
              <w:t>Upton</w:t>
            </w:r>
          </w:p>
        </w:tc>
      </w:tr>
    </w:tbl>
    <w:p w:rsidR="00DF12C1" w:rsidRPr="004F01AE" w:rsidRDefault="00DF12C1" w:rsidP="00F85B30">
      <w:pPr>
        <w:rPr>
          <w:sz w:val="22"/>
          <w:szCs w:val="22"/>
        </w:rPr>
      </w:pPr>
    </w:p>
    <w:p w:rsidR="00701642" w:rsidRDefault="00701642" w:rsidP="00F85B30">
      <w:pPr>
        <w:rPr>
          <w:sz w:val="22"/>
          <w:szCs w:val="22"/>
        </w:rPr>
      </w:pPr>
    </w:p>
    <w:p w:rsidR="00B92417" w:rsidRPr="00B92417" w:rsidRDefault="00B92417" w:rsidP="00F85B30">
      <w:pPr>
        <w:rPr>
          <w:b/>
          <w:sz w:val="28"/>
          <w:szCs w:val="28"/>
        </w:rPr>
      </w:pPr>
      <w:r w:rsidRPr="00B92417">
        <w:rPr>
          <w:b/>
          <w:sz w:val="28"/>
          <w:szCs w:val="28"/>
        </w:rPr>
        <w:t>Staffing changes for Access to HE for 1 February 2012</w:t>
      </w:r>
    </w:p>
    <w:p w:rsidR="00D264D5" w:rsidRPr="004F01AE" w:rsidRDefault="00D264D5" w:rsidP="00F85B30">
      <w:pPr>
        <w:rPr>
          <w:sz w:val="22"/>
          <w:szCs w:val="22"/>
        </w:rPr>
      </w:pPr>
    </w:p>
    <w:p w:rsidR="008967BF" w:rsidRDefault="00B92417" w:rsidP="00C07761">
      <w:pPr>
        <w:rPr>
          <w:sz w:val="22"/>
          <w:szCs w:val="22"/>
        </w:rPr>
      </w:pPr>
      <w:r>
        <w:rPr>
          <w:sz w:val="22"/>
          <w:szCs w:val="22"/>
        </w:rPr>
        <w:t>The bulletin confirms the arrangements for Access to HE staffing following the retirement of Alan Smith as Access to HE senior manager</w:t>
      </w:r>
      <w:r w:rsidR="008967BF">
        <w:rPr>
          <w:sz w:val="22"/>
          <w:szCs w:val="22"/>
        </w:rPr>
        <w:t xml:space="preserve"> on 31</w:t>
      </w:r>
      <w:r w:rsidR="00694CA9">
        <w:rPr>
          <w:sz w:val="22"/>
          <w:szCs w:val="22"/>
        </w:rPr>
        <w:t xml:space="preserve"> </w:t>
      </w:r>
      <w:r w:rsidR="008967BF">
        <w:rPr>
          <w:sz w:val="22"/>
          <w:szCs w:val="22"/>
        </w:rPr>
        <w:t>January 2012</w:t>
      </w:r>
      <w:r>
        <w:rPr>
          <w:sz w:val="22"/>
          <w:szCs w:val="22"/>
        </w:rPr>
        <w:t>.</w:t>
      </w:r>
      <w:r w:rsidR="009636BB">
        <w:rPr>
          <w:sz w:val="22"/>
          <w:szCs w:val="22"/>
        </w:rPr>
        <w:t xml:space="preserve"> </w:t>
      </w:r>
    </w:p>
    <w:p w:rsidR="008967BF" w:rsidRDefault="008967BF" w:rsidP="00C07761">
      <w:pPr>
        <w:rPr>
          <w:sz w:val="22"/>
          <w:szCs w:val="22"/>
        </w:rPr>
      </w:pPr>
    </w:p>
    <w:p w:rsidR="00D264D5" w:rsidRDefault="009636BB" w:rsidP="00C07761">
      <w:pPr>
        <w:rPr>
          <w:sz w:val="22"/>
          <w:szCs w:val="22"/>
        </w:rPr>
      </w:pPr>
      <w:r>
        <w:rPr>
          <w:sz w:val="22"/>
          <w:szCs w:val="22"/>
        </w:rPr>
        <w:t xml:space="preserve">As you know, staffing for Access to </w:t>
      </w:r>
      <w:proofErr w:type="gramStart"/>
      <w:r>
        <w:rPr>
          <w:sz w:val="22"/>
          <w:szCs w:val="22"/>
        </w:rPr>
        <w:t>HE</w:t>
      </w:r>
      <w:proofErr w:type="gramEnd"/>
      <w:r>
        <w:rPr>
          <w:sz w:val="22"/>
          <w:szCs w:val="22"/>
        </w:rPr>
        <w:t xml:space="preserve"> wil</w:t>
      </w:r>
      <w:r w:rsidR="008967BF">
        <w:rPr>
          <w:sz w:val="22"/>
          <w:szCs w:val="22"/>
        </w:rPr>
        <w:t xml:space="preserve">l be supported </w:t>
      </w:r>
      <w:r>
        <w:rPr>
          <w:sz w:val="22"/>
          <w:szCs w:val="22"/>
        </w:rPr>
        <w:t xml:space="preserve">in the same way as all other provision with responsibilities being split between Business Development </w:t>
      </w:r>
      <w:r w:rsidR="00FA2139">
        <w:rPr>
          <w:sz w:val="22"/>
          <w:szCs w:val="22"/>
        </w:rPr>
        <w:t>and Quality Standards and Regulation Directorates</w:t>
      </w:r>
      <w:r w:rsidR="002615DA">
        <w:rPr>
          <w:sz w:val="22"/>
          <w:szCs w:val="22"/>
        </w:rPr>
        <w:t xml:space="preserve"> (QSRD).</w:t>
      </w:r>
    </w:p>
    <w:p w:rsidR="00B92417" w:rsidRDefault="00B92417" w:rsidP="00C07761">
      <w:pPr>
        <w:rPr>
          <w:sz w:val="22"/>
          <w:szCs w:val="22"/>
        </w:rPr>
      </w:pPr>
    </w:p>
    <w:tbl>
      <w:tblPr>
        <w:tblStyle w:val="TableGrid"/>
        <w:tblW w:w="0" w:type="auto"/>
        <w:tblLook w:val="04A0"/>
      </w:tblPr>
      <w:tblGrid>
        <w:gridCol w:w="5210"/>
        <w:gridCol w:w="5211"/>
      </w:tblGrid>
      <w:tr w:rsidR="00B92417" w:rsidTr="00B92417">
        <w:tc>
          <w:tcPr>
            <w:tcW w:w="5210" w:type="dxa"/>
          </w:tcPr>
          <w:p w:rsidR="00B92417" w:rsidRDefault="00B92417" w:rsidP="00F70A0C">
            <w:pPr>
              <w:rPr>
                <w:sz w:val="22"/>
                <w:szCs w:val="22"/>
              </w:rPr>
            </w:pPr>
            <w:r>
              <w:rPr>
                <w:sz w:val="22"/>
                <w:szCs w:val="22"/>
              </w:rPr>
              <w:t>Initial point of contact for queries</w:t>
            </w:r>
            <w:r w:rsidR="00EE255A">
              <w:rPr>
                <w:sz w:val="22"/>
                <w:szCs w:val="22"/>
              </w:rPr>
              <w:t xml:space="preserve"> relating to quality assurance of current Diploma programmes </w:t>
            </w:r>
            <w:r w:rsidR="005F223A">
              <w:rPr>
                <w:sz w:val="22"/>
                <w:szCs w:val="22"/>
              </w:rPr>
              <w:t xml:space="preserve">and initial point of contact </w:t>
            </w:r>
            <w:r>
              <w:rPr>
                <w:sz w:val="22"/>
                <w:szCs w:val="22"/>
              </w:rPr>
              <w:t>if you do not know who to contact</w:t>
            </w:r>
          </w:p>
        </w:tc>
        <w:tc>
          <w:tcPr>
            <w:tcW w:w="5211" w:type="dxa"/>
          </w:tcPr>
          <w:p w:rsidR="00B92417" w:rsidRDefault="00B92417" w:rsidP="00C07761">
            <w:pPr>
              <w:rPr>
                <w:sz w:val="22"/>
                <w:szCs w:val="22"/>
              </w:rPr>
            </w:pPr>
            <w:r>
              <w:rPr>
                <w:sz w:val="22"/>
                <w:szCs w:val="22"/>
              </w:rPr>
              <w:t>Laura Upton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1"/>
      </w:tblGrid>
      <w:tr w:rsidR="005F223A" w:rsidRPr="005F223A" w:rsidTr="005F223A">
        <w:tc>
          <w:tcPr>
            <w:tcW w:w="5210" w:type="dxa"/>
          </w:tcPr>
          <w:p w:rsidR="005F223A" w:rsidRPr="005F223A" w:rsidRDefault="00FA2139" w:rsidP="00F70A0C">
            <w:pPr>
              <w:rPr>
                <w:sz w:val="22"/>
                <w:szCs w:val="22"/>
              </w:rPr>
            </w:pPr>
            <w:r>
              <w:rPr>
                <w:sz w:val="22"/>
                <w:szCs w:val="22"/>
              </w:rPr>
              <w:t>QSRD</w:t>
            </w:r>
            <w:r w:rsidR="005F223A" w:rsidRPr="005F223A">
              <w:rPr>
                <w:sz w:val="22"/>
                <w:szCs w:val="22"/>
              </w:rPr>
              <w:t xml:space="preserve"> lead for Access to HE –</w:t>
            </w:r>
            <w:r>
              <w:rPr>
                <w:sz w:val="22"/>
                <w:szCs w:val="22"/>
              </w:rPr>
              <w:t xml:space="preserve"> quality review, external verification,</w:t>
            </w:r>
            <w:r w:rsidR="005F223A" w:rsidRPr="005F223A">
              <w:rPr>
                <w:sz w:val="22"/>
                <w:szCs w:val="22"/>
              </w:rPr>
              <w:t xml:space="preserve"> </w:t>
            </w:r>
            <w:r w:rsidR="00DF3485" w:rsidRPr="005F223A">
              <w:rPr>
                <w:sz w:val="22"/>
                <w:szCs w:val="22"/>
              </w:rPr>
              <w:t>standardisation,</w:t>
            </w:r>
            <w:r w:rsidR="00DF3485">
              <w:rPr>
                <w:sz w:val="22"/>
                <w:szCs w:val="22"/>
              </w:rPr>
              <w:t xml:space="preserve"> final</w:t>
            </w:r>
            <w:r w:rsidR="00F70A0C">
              <w:rPr>
                <w:sz w:val="22"/>
                <w:szCs w:val="22"/>
              </w:rPr>
              <w:t xml:space="preserve"> </w:t>
            </w:r>
            <w:r w:rsidR="00DF3485">
              <w:rPr>
                <w:sz w:val="22"/>
                <w:szCs w:val="22"/>
              </w:rPr>
              <w:t xml:space="preserve">awards </w:t>
            </w:r>
            <w:r w:rsidR="00DF3485" w:rsidRPr="005F223A">
              <w:rPr>
                <w:sz w:val="22"/>
                <w:szCs w:val="22"/>
              </w:rPr>
              <w:t>boards</w:t>
            </w:r>
            <w:r>
              <w:rPr>
                <w:sz w:val="22"/>
                <w:szCs w:val="22"/>
              </w:rPr>
              <w:t>.</w:t>
            </w:r>
          </w:p>
        </w:tc>
        <w:tc>
          <w:tcPr>
            <w:tcW w:w="5211" w:type="dxa"/>
          </w:tcPr>
          <w:p w:rsidR="005F223A" w:rsidRPr="005F223A" w:rsidRDefault="00694CA9" w:rsidP="00F70A0C">
            <w:pPr>
              <w:rPr>
                <w:sz w:val="22"/>
                <w:szCs w:val="22"/>
              </w:rPr>
            </w:pPr>
            <w:r>
              <w:rPr>
                <w:sz w:val="22"/>
                <w:szCs w:val="22"/>
              </w:rPr>
              <w:t xml:space="preserve">Dr. </w:t>
            </w:r>
            <w:r w:rsidR="005F223A" w:rsidRPr="005F223A">
              <w:rPr>
                <w:sz w:val="22"/>
                <w:szCs w:val="22"/>
              </w:rPr>
              <w:t>Philippa Davies</w:t>
            </w:r>
          </w:p>
        </w:tc>
      </w:tr>
    </w:tbl>
    <w:tbl>
      <w:tblPr>
        <w:tblStyle w:val="TableGrid"/>
        <w:tblW w:w="0" w:type="auto"/>
        <w:tblLook w:val="04A0"/>
      </w:tblPr>
      <w:tblGrid>
        <w:gridCol w:w="5210"/>
        <w:gridCol w:w="5211"/>
      </w:tblGrid>
      <w:tr w:rsidR="00F70A0C" w:rsidTr="00B92417">
        <w:tc>
          <w:tcPr>
            <w:tcW w:w="5210" w:type="dxa"/>
          </w:tcPr>
          <w:p w:rsidR="00F70A0C" w:rsidRDefault="00F70A0C" w:rsidP="004042E1">
            <w:pPr>
              <w:rPr>
                <w:sz w:val="22"/>
                <w:szCs w:val="22"/>
              </w:rPr>
            </w:pPr>
            <w:r>
              <w:rPr>
                <w:sz w:val="22"/>
                <w:szCs w:val="22"/>
              </w:rPr>
              <w:t xml:space="preserve">Administration of QSRD functions as detailed above </w:t>
            </w:r>
          </w:p>
        </w:tc>
        <w:tc>
          <w:tcPr>
            <w:tcW w:w="5211" w:type="dxa"/>
          </w:tcPr>
          <w:p w:rsidR="00F70A0C" w:rsidRDefault="00F70A0C" w:rsidP="00C07761">
            <w:pPr>
              <w:rPr>
                <w:sz w:val="22"/>
                <w:szCs w:val="22"/>
              </w:rPr>
            </w:pPr>
            <w:r>
              <w:rPr>
                <w:sz w:val="22"/>
                <w:szCs w:val="22"/>
              </w:rPr>
              <w:t xml:space="preserve">Teri Marshall </w:t>
            </w:r>
          </w:p>
        </w:tc>
      </w:tr>
      <w:tr w:rsidR="00FA2139" w:rsidTr="00B92417">
        <w:tc>
          <w:tcPr>
            <w:tcW w:w="5210" w:type="dxa"/>
          </w:tcPr>
          <w:p w:rsidR="00FA2139" w:rsidRDefault="008967BF" w:rsidP="004042E1">
            <w:pPr>
              <w:rPr>
                <w:sz w:val="22"/>
                <w:szCs w:val="22"/>
              </w:rPr>
            </w:pPr>
            <w:r>
              <w:rPr>
                <w:sz w:val="22"/>
                <w:szCs w:val="22"/>
              </w:rPr>
              <w:t>Access to HE regional f</w:t>
            </w:r>
            <w:r w:rsidR="00FA2139">
              <w:rPr>
                <w:sz w:val="22"/>
                <w:szCs w:val="22"/>
              </w:rPr>
              <w:t>ora</w:t>
            </w:r>
          </w:p>
        </w:tc>
        <w:tc>
          <w:tcPr>
            <w:tcW w:w="5211" w:type="dxa"/>
          </w:tcPr>
          <w:p w:rsidR="00FA2139" w:rsidRDefault="00694CA9" w:rsidP="00C07761">
            <w:pPr>
              <w:rPr>
                <w:sz w:val="22"/>
                <w:szCs w:val="22"/>
              </w:rPr>
            </w:pPr>
            <w:r>
              <w:rPr>
                <w:sz w:val="22"/>
                <w:szCs w:val="22"/>
              </w:rPr>
              <w:t xml:space="preserve">Dr. </w:t>
            </w:r>
            <w:r w:rsidR="00FA2139">
              <w:rPr>
                <w:sz w:val="22"/>
                <w:szCs w:val="22"/>
              </w:rPr>
              <w:t>Philippa Davies</w:t>
            </w:r>
          </w:p>
        </w:tc>
      </w:tr>
      <w:tr w:rsidR="007D5CA8" w:rsidTr="00B92417">
        <w:tc>
          <w:tcPr>
            <w:tcW w:w="5210" w:type="dxa"/>
          </w:tcPr>
          <w:p w:rsidR="007D5CA8" w:rsidRDefault="00FA2139" w:rsidP="004042E1">
            <w:pPr>
              <w:rPr>
                <w:sz w:val="22"/>
                <w:szCs w:val="22"/>
              </w:rPr>
            </w:pPr>
            <w:r>
              <w:rPr>
                <w:sz w:val="22"/>
                <w:szCs w:val="22"/>
              </w:rPr>
              <w:t>Access to HE Committee lead officer</w:t>
            </w:r>
          </w:p>
        </w:tc>
        <w:tc>
          <w:tcPr>
            <w:tcW w:w="5211" w:type="dxa"/>
          </w:tcPr>
          <w:p w:rsidR="007D5CA8" w:rsidRDefault="00FA2139" w:rsidP="00C07761">
            <w:pPr>
              <w:rPr>
                <w:sz w:val="22"/>
                <w:szCs w:val="22"/>
              </w:rPr>
            </w:pPr>
            <w:r>
              <w:rPr>
                <w:sz w:val="22"/>
                <w:szCs w:val="22"/>
              </w:rPr>
              <w:t>Catrin Verral</w:t>
            </w:r>
            <w:r w:rsidR="00F70A0C">
              <w:rPr>
                <w:sz w:val="22"/>
                <w:szCs w:val="22"/>
              </w:rPr>
              <w:t>l</w:t>
            </w:r>
          </w:p>
        </w:tc>
      </w:tr>
      <w:tr w:rsidR="00B92417" w:rsidTr="00B92417">
        <w:tc>
          <w:tcPr>
            <w:tcW w:w="5210" w:type="dxa"/>
          </w:tcPr>
          <w:p w:rsidR="00B92417" w:rsidRDefault="00B92417" w:rsidP="004042E1">
            <w:pPr>
              <w:rPr>
                <w:sz w:val="22"/>
                <w:szCs w:val="22"/>
              </w:rPr>
            </w:pPr>
            <w:r>
              <w:rPr>
                <w:sz w:val="22"/>
                <w:szCs w:val="22"/>
              </w:rPr>
              <w:t>Revalidation of existing pathways</w:t>
            </w:r>
          </w:p>
        </w:tc>
        <w:tc>
          <w:tcPr>
            <w:tcW w:w="5211" w:type="dxa"/>
          </w:tcPr>
          <w:p w:rsidR="00B92417" w:rsidRDefault="00B92417" w:rsidP="00C07761">
            <w:pPr>
              <w:rPr>
                <w:sz w:val="22"/>
                <w:szCs w:val="22"/>
              </w:rPr>
            </w:pPr>
            <w:r>
              <w:rPr>
                <w:sz w:val="22"/>
                <w:szCs w:val="22"/>
              </w:rPr>
              <w:t>Anne Lewis</w:t>
            </w:r>
          </w:p>
        </w:tc>
      </w:tr>
      <w:tr w:rsidR="009636BB" w:rsidTr="00B92417">
        <w:tc>
          <w:tcPr>
            <w:tcW w:w="5210" w:type="dxa"/>
          </w:tcPr>
          <w:p w:rsidR="009636BB" w:rsidRDefault="004042E1" w:rsidP="00C07761">
            <w:pPr>
              <w:rPr>
                <w:sz w:val="22"/>
                <w:szCs w:val="22"/>
              </w:rPr>
            </w:pPr>
            <w:r w:rsidRPr="004042E1">
              <w:rPr>
                <w:sz w:val="22"/>
                <w:szCs w:val="22"/>
              </w:rPr>
              <w:t>Addition of units to existing pathways</w:t>
            </w:r>
          </w:p>
        </w:tc>
        <w:tc>
          <w:tcPr>
            <w:tcW w:w="5211" w:type="dxa"/>
          </w:tcPr>
          <w:p w:rsidR="009636BB" w:rsidRDefault="007A4F85" w:rsidP="00C07761">
            <w:pPr>
              <w:rPr>
                <w:sz w:val="22"/>
                <w:szCs w:val="22"/>
              </w:rPr>
            </w:pPr>
            <w:r>
              <w:rPr>
                <w:sz w:val="22"/>
                <w:szCs w:val="22"/>
              </w:rPr>
              <w:t>Tom Perfitt</w:t>
            </w:r>
          </w:p>
        </w:tc>
      </w:tr>
      <w:tr w:rsidR="00B92417" w:rsidTr="00B92417">
        <w:tc>
          <w:tcPr>
            <w:tcW w:w="5210" w:type="dxa"/>
          </w:tcPr>
          <w:p w:rsidR="00B92417" w:rsidRDefault="00B92417" w:rsidP="00C07761">
            <w:pPr>
              <w:rPr>
                <w:sz w:val="22"/>
                <w:szCs w:val="22"/>
              </w:rPr>
            </w:pPr>
            <w:r>
              <w:rPr>
                <w:sz w:val="22"/>
                <w:szCs w:val="22"/>
              </w:rPr>
              <w:t>Access to HE subject fora</w:t>
            </w:r>
          </w:p>
          <w:p w:rsidR="00B92417" w:rsidRDefault="00B92417" w:rsidP="00C07761">
            <w:pPr>
              <w:rPr>
                <w:sz w:val="22"/>
                <w:szCs w:val="22"/>
              </w:rPr>
            </w:pPr>
          </w:p>
        </w:tc>
        <w:tc>
          <w:tcPr>
            <w:tcW w:w="5211" w:type="dxa"/>
          </w:tcPr>
          <w:p w:rsidR="00B92417" w:rsidRDefault="004042E1" w:rsidP="00C07761">
            <w:pPr>
              <w:rPr>
                <w:sz w:val="22"/>
                <w:szCs w:val="22"/>
              </w:rPr>
            </w:pPr>
            <w:r>
              <w:rPr>
                <w:sz w:val="22"/>
                <w:szCs w:val="22"/>
              </w:rPr>
              <w:t>Anne Lewis</w:t>
            </w:r>
          </w:p>
        </w:tc>
      </w:tr>
      <w:tr w:rsidR="00EE255A" w:rsidTr="00B92417">
        <w:tc>
          <w:tcPr>
            <w:tcW w:w="5210" w:type="dxa"/>
          </w:tcPr>
          <w:p w:rsidR="00EE255A" w:rsidRDefault="008967BF" w:rsidP="00C07761">
            <w:pPr>
              <w:rPr>
                <w:sz w:val="22"/>
                <w:szCs w:val="22"/>
              </w:rPr>
            </w:pPr>
            <w:r>
              <w:rPr>
                <w:sz w:val="22"/>
                <w:szCs w:val="22"/>
              </w:rPr>
              <w:t xml:space="preserve">Liaison with </w:t>
            </w:r>
            <w:r w:rsidR="00EE255A">
              <w:rPr>
                <w:sz w:val="22"/>
                <w:szCs w:val="22"/>
              </w:rPr>
              <w:t xml:space="preserve"> HE admissions staff about suitability</w:t>
            </w:r>
            <w:r w:rsidR="005F223A">
              <w:rPr>
                <w:sz w:val="22"/>
                <w:szCs w:val="22"/>
              </w:rPr>
              <w:t xml:space="preserve"> of AHE for progression to HE</w:t>
            </w:r>
          </w:p>
        </w:tc>
        <w:tc>
          <w:tcPr>
            <w:tcW w:w="5211" w:type="dxa"/>
          </w:tcPr>
          <w:p w:rsidR="00EE255A" w:rsidRDefault="005F223A" w:rsidP="00C07761">
            <w:pPr>
              <w:rPr>
                <w:sz w:val="22"/>
                <w:szCs w:val="22"/>
              </w:rPr>
            </w:pPr>
            <w:r>
              <w:rPr>
                <w:sz w:val="22"/>
                <w:szCs w:val="22"/>
              </w:rPr>
              <w:t>Anne Lewis</w:t>
            </w:r>
          </w:p>
        </w:tc>
      </w:tr>
      <w:tr w:rsidR="007D5CA8" w:rsidTr="00B92417">
        <w:tc>
          <w:tcPr>
            <w:tcW w:w="5210" w:type="dxa"/>
          </w:tcPr>
          <w:p w:rsidR="007D5CA8" w:rsidRDefault="007D5CA8" w:rsidP="00C07761">
            <w:pPr>
              <w:rPr>
                <w:sz w:val="22"/>
                <w:szCs w:val="22"/>
              </w:rPr>
            </w:pPr>
            <w:r>
              <w:rPr>
                <w:sz w:val="22"/>
                <w:szCs w:val="22"/>
              </w:rPr>
              <w:t>Access Learner of the Year award</w:t>
            </w:r>
          </w:p>
        </w:tc>
        <w:tc>
          <w:tcPr>
            <w:tcW w:w="5211" w:type="dxa"/>
          </w:tcPr>
          <w:p w:rsidR="007D5CA8" w:rsidRDefault="007D5CA8" w:rsidP="00C07761">
            <w:pPr>
              <w:rPr>
                <w:sz w:val="22"/>
                <w:szCs w:val="22"/>
              </w:rPr>
            </w:pPr>
            <w:r>
              <w:rPr>
                <w:sz w:val="22"/>
                <w:szCs w:val="22"/>
              </w:rPr>
              <w:t>Huw Jones</w:t>
            </w:r>
          </w:p>
        </w:tc>
      </w:tr>
    </w:tbl>
    <w:p w:rsidR="00B92417" w:rsidRDefault="00B92417" w:rsidP="00C07761">
      <w:pPr>
        <w:rPr>
          <w:sz w:val="22"/>
          <w:szCs w:val="22"/>
        </w:rPr>
      </w:pPr>
    </w:p>
    <w:p w:rsidR="008967BF" w:rsidRDefault="008967BF" w:rsidP="00C07761">
      <w:pPr>
        <w:rPr>
          <w:sz w:val="22"/>
          <w:szCs w:val="22"/>
        </w:rPr>
      </w:pPr>
      <w:r>
        <w:rPr>
          <w:sz w:val="22"/>
          <w:szCs w:val="22"/>
        </w:rPr>
        <w:t xml:space="preserve">All contact details are on the Agored Cymru </w:t>
      </w:r>
      <w:hyperlink r:id="rId9" w:history="1">
        <w:r w:rsidRPr="008967BF">
          <w:rPr>
            <w:rStyle w:val="Hyperlink"/>
            <w:sz w:val="22"/>
            <w:szCs w:val="22"/>
          </w:rPr>
          <w:t>web site</w:t>
        </w:r>
      </w:hyperlink>
      <w:r>
        <w:rPr>
          <w:sz w:val="22"/>
          <w:szCs w:val="22"/>
        </w:rPr>
        <w:t xml:space="preserve"> </w:t>
      </w:r>
    </w:p>
    <w:p w:rsidR="008967BF" w:rsidRDefault="008967BF" w:rsidP="00C07761">
      <w:pPr>
        <w:rPr>
          <w:sz w:val="22"/>
          <w:szCs w:val="22"/>
        </w:rPr>
      </w:pPr>
    </w:p>
    <w:p w:rsidR="00FA2139" w:rsidRDefault="00FA2139" w:rsidP="00C07761">
      <w:pPr>
        <w:rPr>
          <w:sz w:val="22"/>
          <w:szCs w:val="22"/>
        </w:rPr>
      </w:pPr>
      <w:r>
        <w:rPr>
          <w:sz w:val="22"/>
          <w:szCs w:val="22"/>
        </w:rPr>
        <w:t xml:space="preserve">Alan Smith will be working as a consultant from the middle of February until the </w:t>
      </w:r>
      <w:r w:rsidR="00394A88">
        <w:rPr>
          <w:sz w:val="22"/>
          <w:szCs w:val="22"/>
        </w:rPr>
        <w:t xml:space="preserve">end of September on the development of the single Access to HE framework. He will be </w:t>
      </w:r>
      <w:r w:rsidR="008967BF">
        <w:rPr>
          <w:sz w:val="22"/>
          <w:szCs w:val="22"/>
        </w:rPr>
        <w:t>initiating</w:t>
      </w:r>
      <w:r w:rsidR="00394A88">
        <w:rPr>
          <w:sz w:val="22"/>
          <w:szCs w:val="22"/>
        </w:rPr>
        <w:t xml:space="preserve"> contact </w:t>
      </w:r>
      <w:r w:rsidR="008967BF">
        <w:rPr>
          <w:sz w:val="22"/>
          <w:szCs w:val="22"/>
        </w:rPr>
        <w:t xml:space="preserve">on this work. </w:t>
      </w:r>
      <w:r w:rsidR="00DF3485">
        <w:rPr>
          <w:sz w:val="22"/>
          <w:szCs w:val="22"/>
        </w:rPr>
        <w:t xml:space="preserve">Please do not contact </w:t>
      </w:r>
      <w:r w:rsidR="008967BF">
        <w:rPr>
          <w:sz w:val="22"/>
          <w:szCs w:val="22"/>
        </w:rPr>
        <w:t>Alan on any other AHE matters after 31 January 2012.</w:t>
      </w:r>
    </w:p>
    <w:p w:rsidR="00E466F0" w:rsidRDefault="00E466F0" w:rsidP="00C07761">
      <w:pPr>
        <w:rPr>
          <w:sz w:val="22"/>
          <w:szCs w:val="22"/>
        </w:rPr>
      </w:pPr>
    </w:p>
    <w:p w:rsidR="00E466F0" w:rsidRDefault="00E466F0" w:rsidP="00C07761">
      <w:pPr>
        <w:rPr>
          <w:sz w:val="22"/>
          <w:szCs w:val="22"/>
        </w:rPr>
      </w:pPr>
    </w:p>
    <w:p w:rsidR="00E466F0" w:rsidRDefault="00E466F0" w:rsidP="00C07761">
      <w:pPr>
        <w:rPr>
          <w:sz w:val="22"/>
          <w:szCs w:val="22"/>
        </w:rPr>
      </w:pPr>
    </w:p>
    <w:p w:rsidR="00E466F0" w:rsidRDefault="00E466F0" w:rsidP="00C07761">
      <w:pPr>
        <w:rPr>
          <w:sz w:val="22"/>
          <w:szCs w:val="22"/>
        </w:rPr>
      </w:pPr>
    </w:p>
    <w:p w:rsidR="008967BF" w:rsidRDefault="008967BF" w:rsidP="00C07761">
      <w:pPr>
        <w:rPr>
          <w:sz w:val="22"/>
          <w:szCs w:val="22"/>
        </w:rPr>
      </w:pPr>
    </w:p>
    <w:p w:rsidR="00E466F0" w:rsidRPr="00E466F0" w:rsidRDefault="00E466F0" w:rsidP="00E466F0">
      <w:pPr>
        <w:spacing w:before="240" w:after="240"/>
        <w:rPr>
          <w:b/>
          <w:sz w:val="24"/>
          <w:szCs w:val="24"/>
        </w:rPr>
      </w:pPr>
      <w:r w:rsidRPr="00E466F0">
        <w:rPr>
          <w:b/>
          <w:sz w:val="24"/>
          <w:szCs w:val="24"/>
        </w:rPr>
        <w:lastRenderedPageBreak/>
        <w:t>Rules of combination</w:t>
      </w:r>
    </w:p>
    <w:p w:rsidR="00E466F0" w:rsidRPr="00E466F0" w:rsidRDefault="00E466F0" w:rsidP="00E466F0">
      <w:pPr>
        <w:spacing w:before="240" w:after="240"/>
        <w:rPr>
          <w:sz w:val="22"/>
          <w:szCs w:val="22"/>
        </w:rPr>
      </w:pPr>
      <w:r w:rsidRPr="00E466F0">
        <w:rPr>
          <w:sz w:val="22"/>
          <w:szCs w:val="22"/>
        </w:rPr>
        <w:t xml:space="preserve">In order to ensure that awards of learner achievement are valid and in line with your centre’s current rules of combination (RoC), we require you to endorse the rules on an annual basis.  This will involve signatures from your quality contact, AHE coordinator and pathway coordinators.  We hope that this measure will help to prevent any misunderstandings if there are staff changes or re-validations where there may be two sets of current rules of combination.  </w:t>
      </w:r>
    </w:p>
    <w:p w:rsidR="00E466F0" w:rsidRPr="00E466F0" w:rsidRDefault="00E466F0" w:rsidP="00E466F0">
      <w:pPr>
        <w:spacing w:before="240" w:after="240"/>
        <w:rPr>
          <w:b/>
          <w:sz w:val="24"/>
          <w:szCs w:val="24"/>
        </w:rPr>
      </w:pPr>
      <w:r w:rsidRPr="00E466F0">
        <w:rPr>
          <w:b/>
          <w:sz w:val="24"/>
          <w:szCs w:val="24"/>
        </w:rPr>
        <w:t>Standardisation</w:t>
      </w:r>
    </w:p>
    <w:p w:rsidR="00E466F0" w:rsidRPr="00E466F0" w:rsidRDefault="00E466F0" w:rsidP="00E466F0">
      <w:pPr>
        <w:spacing w:before="240" w:after="240"/>
        <w:rPr>
          <w:sz w:val="22"/>
          <w:szCs w:val="22"/>
        </w:rPr>
      </w:pPr>
      <w:r w:rsidRPr="00E466F0">
        <w:rPr>
          <w:sz w:val="22"/>
          <w:szCs w:val="22"/>
        </w:rPr>
        <w:t xml:space="preserve">This year, we are hoping to focus on the extended essay where possible for the standardisation events.  Please can you liaise with Laura Upton </w:t>
      </w:r>
      <w:hyperlink r:id="rId10" w:history="1">
        <w:r w:rsidRPr="00E466F0">
          <w:rPr>
            <w:rStyle w:val="Hyperlink"/>
            <w:sz w:val="22"/>
            <w:szCs w:val="22"/>
          </w:rPr>
          <w:t>laura.upton@agored.org.uk</w:t>
        </w:r>
      </w:hyperlink>
      <w:r w:rsidRPr="00E466F0">
        <w:rPr>
          <w:sz w:val="22"/>
          <w:szCs w:val="22"/>
        </w:rPr>
        <w:t xml:space="preserve"> Tel. 02920741066 with regards to the samples required.  Ideally, we would like one sample of each grade per pathway from 2010-11 i.e. last academic year.  This may not be possible in all cases, but please can you contact Laura so that we have an overview as to whether or not we are going to have enough samples to work on.  </w:t>
      </w:r>
    </w:p>
    <w:p w:rsidR="00E466F0" w:rsidRPr="00E466F0" w:rsidRDefault="00E466F0" w:rsidP="00E466F0">
      <w:pPr>
        <w:spacing w:before="240" w:after="240"/>
        <w:rPr>
          <w:b/>
          <w:sz w:val="24"/>
          <w:szCs w:val="24"/>
        </w:rPr>
      </w:pPr>
      <w:r w:rsidRPr="00E466F0">
        <w:rPr>
          <w:b/>
          <w:sz w:val="24"/>
          <w:szCs w:val="24"/>
        </w:rPr>
        <w:t>Lighter touch external verifications</w:t>
      </w:r>
    </w:p>
    <w:p w:rsidR="00E466F0" w:rsidRPr="00E466F0" w:rsidRDefault="00E466F0" w:rsidP="00E466F0">
      <w:pPr>
        <w:spacing w:before="240" w:after="240"/>
        <w:rPr>
          <w:sz w:val="22"/>
          <w:szCs w:val="22"/>
        </w:rPr>
      </w:pPr>
      <w:r w:rsidRPr="00E466F0">
        <w:rPr>
          <w:sz w:val="22"/>
          <w:szCs w:val="22"/>
        </w:rPr>
        <w:t xml:space="preserve">We are piloting the implementation of a lighter touch with respect to external verification this year.  We have had feedback to confirm that grading is now embedded and well understood by staff and learners.  We are planning on conducting </w:t>
      </w:r>
      <w:r w:rsidRPr="00E466F0">
        <w:rPr>
          <w:b/>
          <w:sz w:val="22"/>
          <w:szCs w:val="22"/>
        </w:rPr>
        <w:t>one</w:t>
      </w:r>
      <w:r w:rsidRPr="00E466F0">
        <w:rPr>
          <w:sz w:val="22"/>
          <w:szCs w:val="22"/>
        </w:rPr>
        <w:t xml:space="preserve"> external verification in March/April.  If there are satisfactory outcomes, there will be no second external verification.  However, if the outcomes are unsatisfactory, we will need to follow up.  </w:t>
      </w:r>
    </w:p>
    <w:p w:rsidR="00E466F0" w:rsidRPr="00E466F0" w:rsidRDefault="00E466F0" w:rsidP="00E466F0">
      <w:pPr>
        <w:spacing w:before="240" w:after="240"/>
        <w:rPr>
          <w:sz w:val="22"/>
          <w:szCs w:val="22"/>
        </w:rPr>
      </w:pPr>
      <w:r w:rsidRPr="00E466F0">
        <w:rPr>
          <w:sz w:val="22"/>
          <w:szCs w:val="22"/>
        </w:rPr>
        <w:t>We will review all our procedures annually and improve them in the light of feedback and experience.</w:t>
      </w:r>
    </w:p>
    <w:p w:rsidR="00E466F0" w:rsidRPr="00E466F0" w:rsidRDefault="00E466F0" w:rsidP="00E466F0">
      <w:pPr>
        <w:spacing w:before="240" w:after="240"/>
        <w:rPr>
          <w:b/>
          <w:sz w:val="24"/>
          <w:szCs w:val="24"/>
        </w:rPr>
      </w:pPr>
      <w:r w:rsidRPr="00E466F0">
        <w:rPr>
          <w:b/>
          <w:sz w:val="24"/>
          <w:szCs w:val="24"/>
        </w:rPr>
        <w:t>Joint quality reviews and end of year reviews</w:t>
      </w:r>
    </w:p>
    <w:p w:rsidR="00E466F0" w:rsidRPr="00E466F0" w:rsidRDefault="00E466F0" w:rsidP="00E466F0">
      <w:pPr>
        <w:spacing w:before="240" w:after="240"/>
        <w:rPr>
          <w:sz w:val="22"/>
          <w:szCs w:val="22"/>
        </w:rPr>
      </w:pPr>
      <w:r w:rsidRPr="00E466F0">
        <w:rPr>
          <w:sz w:val="22"/>
          <w:szCs w:val="22"/>
        </w:rPr>
        <w:t>This year, we have piloted conducting joint annual quality reviews and Access to Higher Education (AHE) end of year reviews in the FE institutions.  The pilot has already proved to be very successful and has a number of benefits:</w:t>
      </w:r>
    </w:p>
    <w:p w:rsidR="00E466F0" w:rsidRPr="00E466F0" w:rsidRDefault="00E466F0" w:rsidP="00E466F0">
      <w:pPr>
        <w:pStyle w:val="ListParagraph"/>
        <w:numPr>
          <w:ilvl w:val="0"/>
          <w:numId w:val="5"/>
        </w:numPr>
        <w:rPr>
          <w:rFonts w:ascii="Arial" w:hAnsi="Arial" w:cs="Arial"/>
        </w:rPr>
      </w:pPr>
      <w:r w:rsidRPr="00E466F0">
        <w:rPr>
          <w:rFonts w:ascii="Arial" w:hAnsi="Arial" w:cs="Arial"/>
        </w:rPr>
        <w:t>improves understanding of AHE amongst senior managers, Access coordinators and the awarding organisation officer;</w:t>
      </w:r>
    </w:p>
    <w:p w:rsidR="00E466F0" w:rsidRPr="00E466F0" w:rsidRDefault="00E466F0" w:rsidP="00E466F0">
      <w:pPr>
        <w:pStyle w:val="ListParagraph"/>
        <w:numPr>
          <w:ilvl w:val="0"/>
          <w:numId w:val="5"/>
        </w:numPr>
        <w:rPr>
          <w:rFonts w:ascii="Arial" w:hAnsi="Arial" w:cs="Arial"/>
        </w:rPr>
      </w:pPr>
      <w:r w:rsidRPr="00E466F0">
        <w:rPr>
          <w:rFonts w:ascii="Arial" w:hAnsi="Arial" w:cs="Arial"/>
        </w:rPr>
        <w:t>reduces bureaucracy;</w:t>
      </w:r>
    </w:p>
    <w:p w:rsidR="00E466F0" w:rsidRPr="00E466F0" w:rsidRDefault="00E466F0" w:rsidP="00E466F0">
      <w:pPr>
        <w:pStyle w:val="ListParagraph"/>
        <w:numPr>
          <w:ilvl w:val="0"/>
          <w:numId w:val="5"/>
        </w:numPr>
        <w:rPr>
          <w:rFonts w:ascii="Arial" w:hAnsi="Arial" w:cs="Arial"/>
        </w:rPr>
      </w:pPr>
      <w:r w:rsidRPr="00E466F0">
        <w:rPr>
          <w:rFonts w:ascii="Arial" w:hAnsi="Arial" w:cs="Arial"/>
        </w:rPr>
        <w:t>uses time more efficiently;</w:t>
      </w:r>
    </w:p>
    <w:p w:rsidR="00E466F0" w:rsidRPr="00E466F0" w:rsidRDefault="00E466F0" w:rsidP="00E466F0">
      <w:pPr>
        <w:pStyle w:val="ListParagraph"/>
        <w:numPr>
          <w:ilvl w:val="0"/>
          <w:numId w:val="5"/>
        </w:numPr>
        <w:rPr>
          <w:rFonts w:ascii="Arial" w:hAnsi="Arial" w:cs="Arial"/>
        </w:rPr>
      </w:pPr>
      <w:r w:rsidRPr="00E466F0">
        <w:rPr>
          <w:rFonts w:ascii="Arial" w:hAnsi="Arial" w:cs="Arial"/>
        </w:rPr>
        <w:t>facilitates the sharing of good practice across the curriculum.</w:t>
      </w:r>
    </w:p>
    <w:p w:rsidR="00E466F0" w:rsidRPr="00E466F0" w:rsidRDefault="00E466F0" w:rsidP="00E466F0">
      <w:pPr>
        <w:spacing w:before="240" w:after="240"/>
        <w:rPr>
          <w:sz w:val="22"/>
          <w:szCs w:val="22"/>
        </w:rPr>
      </w:pPr>
      <w:r w:rsidRPr="00E466F0">
        <w:rPr>
          <w:sz w:val="22"/>
          <w:szCs w:val="22"/>
        </w:rPr>
        <w:t>In view of the positive feedback that we have received, we shall adopt this model for all centres delivering the AHE diploma in 2012-13.</w:t>
      </w:r>
    </w:p>
    <w:p w:rsidR="002D7150" w:rsidRPr="00780A1B" w:rsidRDefault="00E466F0" w:rsidP="002D7150">
      <w:pPr>
        <w:spacing w:before="240" w:after="240"/>
        <w:rPr>
          <w:b/>
          <w:i/>
          <w:sz w:val="24"/>
          <w:szCs w:val="24"/>
        </w:rPr>
      </w:pPr>
      <w:r w:rsidRPr="002E7CB8">
        <w:rPr>
          <w:b/>
          <w:sz w:val="24"/>
          <w:szCs w:val="24"/>
        </w:rPr>
        <w:t xml:space="preserve">Procedures for your centre to follow regarding the RACs for </w:t>
      </w:r>
      <w:r w:rsidRPr="00780A1B">
        <w:rPr>
          <w:b/>
          <w:sz w:val="24"/>
          <w:szCs w:val="24"/>
        </w:rPr>
        <w:t xml:space="preserve">the </w:t>
      </w:r>
      <w:r w:rsidRPr="00780A1B">
        <w:rPr>
          <w:b/>
          <w:bCs/>
          <w:sz w:val="24"/>
          <w:szCs w:val="24"/>
        </w:rPr>
        <w:t>February final awards board</w:t>
      </w:r>
      <w:r w:rsidR="002615DA">
        <w:rPr>
          <w:b/>
          <w:bCs/>
          <w:sz w:val="24"/>
          <w:szCs w:val="24"/>
        </w:rPr>
        <w:t>s</w:t>
      </w:r>
      <w:r w:rsidRPr="00780A1B">
        <w:rPr>
          <w:b/>
          <w:sz w:val="24"/>
          <w:szCs w:val="24"/>
        </w:rPr>
        <w:t xml:space="preserve"> (FAB</w:t>
      </w:r>
      <w:r w:rsidR="002615DA">
        <w:rPr>
          <w:b/>
          <w:sz w:val="24"/>
          <w:szCs w:val="24"/>
        </w:rPr>
        <w:t>s</w:t>
      </w:r>
      <w:r w:rsidRPr="00780A1B">
        <w:rPr>
          <w:b/>
          <w:sz w:val="24"/>
          <w:szCs w:val="24"/>
        </w:rPr>
        <w:t>)</w:t>
      </w:r>
      <w:r w:rsidR="00780A1B">
        <w:rPr>
          <w:b/>
          <w:i/>
          <w:sz w:val="24"/>
          <w:szCs w:val="24"/>
        </w:rPr>
        <w:t xml:space="preserve"> - </w:t>
      </w:r>
      <w:r w:rsidR="002D7150" w:rsidRPr="002E7CB8">
        <w:rPr>
          <w:b/>
          <w:sz w:val="24"/>
          <w:szCs w:val="24"/>
        </w:rPr>
        <w:t>Cardiff &amp; Vale College (Barry site), Deeside College and Coleg Gwent only</w:t>
      </w:r>
    </w:p>
    <w:p w:rsidR="00780A1B" w:rsidRPr="002615DA" w:rsidRDefault="006A56C5" w:rsidP="00780A1B">
      <w:pPr>
        <w:pStyle w:val="ListParagraph"/>
        <w:numPr>
          <w:ilvl w:val="0"/>
          <w:numId w:val="8"/>
        </w:numPr>
        <w:spacing w:before="100" w:beforeAutospacing="1" w:after="100" w:afterAutospacing="1"/>
        <w:ind w:left="714" w:hanging="357"/>
        <w:rPr>
          <w:rFonts w:ascii="Arial" w:hAnsi="Arial" w:cs="Arial"/>
        </w:rPr>
      </w:pPr>
      <w:r w:rsidRPr="006A56C5">
        <w:rPr>
          <w:rFonts w:ascii="Arial" w:hAnsi="Arial" w:cs="Arial"/>
        </w:rPr>
        <w:t>Once you have downloaded the electronic RAC from your account on the website, input each learner’s results by selecting the appropriate grade from the drop down facility.</w:t>
      </w:r>
    </w:p>
    <w:p w:rsidR="00780A1B" w:rsidRPr="002615DA" w:rsidRDefault="00E466F0" w:rsidP="00780A1B">
      <w:pPr>
        <w:pStyle w:val="ListParagraph"/>
        <w:numPr>
          <w:ilvl w:val="0"/>
          <w:numId w:val="8"/>
        </w:numPr>
        <w:spacing w:before="100" w:beforeAutospacing="1" w:after="100" w:afterAutospacing="1"/>
        <w:ind w:left="714" w:hanging="357"/>
        <w:rPr>
          <w:rFonts w:ascii="Arial" w:hAnsi="Arial" w:cs="Arial"/>
        </w:rPr>
      </w:pPr>
      <w:r w:rsidRPr="002615DA">
        <w:rPr>
          <w:rFonts w:ascii="Arial" w:hAnsi="Arial" w:cs="Arial"/>
        </w:rPr>
        <w:t>Print out the RACs so that they are available at the FAB.  Please</w:t>
      </w:r>
      <w:r w:rsidR="00780A1B" w:rsidRPr="002615DA">
        <w:rPr>
          <w:rFonts w:ascii="Arial" w:hAnsi="Arial" w:cs="Arial"/>
        </w:rPr>
        <w:t xml:space="preserve"> ensure that there is a RAC for </w:t>
      </w:r>
      <w:r w:rsidRPr="002615DA">
        <w:rPr>
          <w:rFonts w:ascii="Arial" w:hAnsi="Arial" w:cs="Arial"/>
        </w:rPr>
        <w:t>each learner.</w:t>
      </w:r>
    </w:p>
    <w:p w:rsidR="00780A1B" w:rsidRPr="002615DA" w:rsidRDefault="00E466F0" w:rsidP="00780A1B">
      <w:pPr>
        <w:pStyle w:val="ListParagraph"/>
        <w:numPr>
          <w:ilvl w:val="0"/>
          <w:numId w:val="8"/>
        </w:numPr>
        <w:spacing w:before="100" w:beforeAutospacing="1" w:after="100" w:afterAutospacing="1"/>
        <w:ind w:left="714" w:hanging="357"/>
        <w:rPr>
          <w:rFonts w:ascii="Arial" w:hAnsi="Arial" w:cs="Arial"/>
        </w:rPr>
      </w:pPr>
      <w:r w:rsidRPr="002615DA">
        <w:rPr>
          <w:rFonts w:ascii="Arial" w:hAnsi="Arial" w:cs="Arial"/>
        </w:rPr>
        <w:t>Any errors identified during the FAB</w:t>
      </w:r>
      <w:r w:rsidR="002615DA" w:rsidRPr="002615DA">
        <w:rPr>
          <w:rFonts w:ascii="Arial" w:hAnsi="Arial" w:cs="Arial"/>
        </w:rPr>
        <w:t xml:space="preserve"> </w:t>
      </w:r>
      <w:r w:rsidRPr="002615DA">
        <w:rPr>
          <w:rFonts w:ascii="Arial" w:hAnsi="Arial" w:cs="Arial"/>
        </w:rPr>
        <w:t>(such as wrong grades) will be noted on the printed copies, initialled by the Chair and then sent (by Agored Cymru staff, as u</w:t>
      </w:r>
      <w:r w:rsidR="00780A1B" w:rsidRPr="002615DA">
        <w:rPr>
          <w:rFonts w:ascii="Arial" w:hAnsi="Arial" w:cs="Arial"/>
        </w:rPr>
        <w:t xml:space="preserve">sual) to Agored Cymru’s Quality </w:t>
      </w:r>
      <w:r w:rsidRPr="002615DA">
        <w:rPr>
          <w:rFonts w:ascii="Arial" w:hAnsi="Arial" w:cs="Arial"/>
        </w:rPr>
        <w:t xml:space="preserve">Systems and Operations Officer (Joan Roberts) following the FABs. </w:t>
      </w:r>
    </w:p>
    <w:p w:rsidR="00E466F0" w:rsidRPr="002615DA" w:rsidRDefault="00E466F0" w:rsidP="00780A1B">
      <w:pPr>
        <w:pStyle w:val="ListParagraph"/>
        <w:numPr>
          <w:ilvl w:val="0"/>
          <w:numId w:val="8"/>
        </w:numPr>
        <w:spacing w:before="100" w:beforeAutospacing="1" w:after="100" w:afterAutospacing="1"/>
        <w:ind w:left="714" w:hanging="357"/>
        <w:rPr>
          <w:rFonts w:ascii="Arial" w:hAnsi="Arial" w:cs="Arial"/>
        </w:rPr>
      </w:pPr>
      <w:r w:rsidRPr="002615DA">
        <w:rPr>
          <w:rFonts w:ascii="Arial" w:hAnsi="Arial" w:cs="Arial"/>
        </w:rPr>
        <w:t>If errors were identified at the FAB, make the necessary agreed changes to the RAC(s) in question (i.e. to the grade) before uploading the RAC(s) via your account on the website.  </w:t>
      </w:r>
    </w:p>
    <w:p w:rsidR="00E466F0" w:rsidRPr="00E466F0" w:rsidRDefault="00E466F0" w:rsidP="00780A1B">
      <w:pPr>
        <w:pStyle w:val="ListParagraph"/>
        <w:numPr>
          <w:ilvl w:val="0"/>
          <w:numId w:val="6"/>
        </w:numPr>
        <w:spacing w:before="100" w:beforeAutospacing="1" w:after="100" w:afterAutospacing="1"/>
        <w:rPr>
          <w:rFonts w:ascii="Arial" w:hAnsi="Arial" w:cs="Arial"/>
        </w:rPr>
      </w:pPr>
      <w:r w:rsidRPr="00E466F0">
        <w:rPr>
          <w:rFonts w:ascii="Arial" w:hAnsi="Arial" w:cs="Arial"/>
        </w:rPr>
        <w:lastRenderedPageBreak/>
        <w:t>Only changes to the grades can be made on the electronic RAC.  Any additional amendments will need to be noted on the paper copies during the FAB and sent to Joan Roberts.</w:t>
      </w:r>
    </w:p>
    <w:p w:rsidR="00E466F0" w:rsidRPr="00E466F0" w:rsidRDefault="00E466F0" w:rsidP="00780A1B">
      <w:pPr>
        <w:pStyle w:val="ListParagraph"/>
        <w:numPr>
          <w:ilvl w:val="0"/>
          <w:numId w:val="6"/>
        </w:numPr>
        <w:spacing w:before="100" w:beforeAutospacing="1" w:after="100" w:afterAutospacing="1"/>
        <w:rPr>
          <w:rFonts w:ascii="Arial" w:hAnsi="Arial" w:cs="Arial"/>
        </w:rPr>
      </w:pPr>
      <w:r w:rsidRPr="00E466F0">
        <w:rPr>
          <w:rFonts w:ascii="Arial" w:hAnsi="Arial" w:cs="Arial"/>
        </w:rPr>
        <w:t>Joan Roberts will check each paper copy against the uploaded RACs.</w:t>
      </w:r>
    </w:p>
    <w:p w:rsidR="00E466F0" w:rsidRPr="00E466F0" w:rsidRDefault="00E466F0" w:rsidP="00E466F0">
      <w:pPr>
        <w:pStyle w:val="ListParagraph"/>
        <w:rPr>
          <w:rFonts w:ascii="Arial" w:hAnsi="Arial" w:cs="Arial"/>
          <w:b/>
        </w:rPr>
      </w:pPr>
    </w:p>
    <w:p w:rsidR="00E466F0" w:rsidRPr="002E7CB8" w:rsidRDefault="00E466F0" w:rsidP="00E466F0">
      <w:pPr>
        <w:spacing w:before="240" w:after="240"/>
        <w:rPr>
          <w:b/>
          <w:sz w:val="24"/>
          <w:szCs w:val="24"/>
        </w:rPr>
      </w:pPr>
      <w:r w:rsidRPr="002E7CB8">
        <w:rPr>
          <w:b/>
          <w:sz w:val="24"/>
          <w:szCs w:val="24"/>
        </w:rPr>
        <w:t>New grading handbook alert</w:t>
      </w:r>
    </w:p>
    <w:p w:rsidR="00E466F0" w:rsidRPr="00E466F0" w:rsidRDefault="00E466F0" w:rsidP="00E466F0">
      <w:pPr>
        <w:spacing w:before="240" w:after="240"/>
        <w:rPr>
          <w:sz w:val="22"/>
          <w:szCs w:val="22"/>
        </w:rPr>
      </w:pPr>
      <w:r w:rsidRPr="00E466F0">
        <w:rPr>
          <w:sz w:val="22"/>
          <w:szCs w:val="22"/>
        </w:rPr>
        <w:t>News from QAA - the revised handbook for the grading scheme is now availabl</w:t>
      </w:r>
      <w:r w:rsidR="00972EFC">
        <w:rPr>
          <w:sz w:val="22"/>
          <w:szCs w:val="22"/>
        </w:rPr>
        <w:t xml:space="preserve">e on the Access to HE website. </w:t>
      </w:r>
      <w:r w:rsidRPr="00E466F0">
        <w:rPr>
          <w:sz w:val="22"/>
          <w:szCs w:val="22"/>
        </w:rPr>
        <w:t>The content of the handbook is fundamentally the same as the original implementation handbook.</w:t>
      </w:r>
      <w:r w:rsidR="00972EFC">
        <w:rPr>
          <w:sz w:val="22"/>
          <w:szCs w:val="22"/>
        </w:rPr>
        <w:t xml:space="preserve"> </w:t>
      </w:r>
      <w:r w:rsidRPr="00E466F0">
        <w:rPr>
          <w:sz w:val="22"/>
          <w:szCs w:val="22"/>
        </w:rPr>
        <w:t>Both versions of the handbook will be availabl</w:t>
      </w:r>
      <w:r w:rsidR="004E225F">
        <w:rPr>
          <w:sz w:val="22"/>
          <w:szCs w:val="22"/>
        </w:rPr>
        <w:t xml:space="preserve">e until the end of August 2012. </w:t>
      </w:r>
      <w:r w:rsidRPr="00E466F0">
        <w:rPr>
          <w:sz w:val="22"/>
          <w:szCs w:val="22"/>
        </w:rPr>
        <w:t xml:space="preserve">Nonetheless, to avoid any confusion, you are required to ensure that you use the new handbook exclusively for the 2012-13 academic year.  </w:t>
      </w:r>
    </w:p>
    <w:p w:rsidR="008967BF" w:rsidRPr="004F01AE" w:rsidRDefault="008967BF" w:rsidP="00E466F0">
      <w:pPr>
        <w:spacing w:before="240" w:after="240"/>
        <w:rPr>
          <w:sz w:val="22"/>
          <w:szCs w:val="22"/>
        </w:rPr>
      </w:pPr>
    </w:p>
    <w:sectPr w:rsidR="008967BF" w:rsidRPr="004F01AE" w:rsidSect="00C07761">
      <w:headerReference w:type="even" r:id="rId11"/>
      <w:pgSz w:w="11907" w:h="16840" w:code="9"/>
      <w:pgMar w:top="1134" w:right="851" w:bottom="156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338" w:rsidRDefault="00A97338">
      <w:r>
        <w:separator/>
      </w:r>
    </w:p>
  </w:endnote>
  <w:endnote w:type="continuationSeparator" w:id="0">
    <w:p w:rsidR="00A97338" w:rsidRDefault="00A973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338" w:rsidRDefault="00A97338">
      <w:r>
        <w:separator/>
      </w:r>
    </w:p>
  </w:footnote>
  <w:footnote w:type="continuationSeparator" w:id="0">
    <w:p w:rsidR="00A97338" w:rsidRDefault="00A97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FC" w:rsidRDefault="00972EFC">
    <w:pPr>
      <w:pStyle w:val="Header"/>
    </w:pPr>
    <w:r>
      <w:rPr>
        <w:noProof/>
      </w:rPr>
      <w:drawing>
        <wp:inline distT="0" distB="0" distL="0" distR="0">
          <wp:extent cx="6353175" cy="8982075"/>
          <wp:effectExtent l="19050" t="0" r="9525" b="0"/>
          <wp:docPr id="1" name="Picture 1" descr="cover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sheet"/>
                  <pic:cNvPicPr>
                    <a:picLocks noChangeAspect="1" noChangeArrowheads="1"/>
                  </pic:cNvPicPr>
                </pic:nvPicPr>
                <pic:blipFill>
                  <a:blip r:embed="rId1"/>
                  <a:srcRect/>
                  <a:stretch>
                    <a:fillRect/>
                  </a:stretch>
                </pic:blipFill>
                <pic:spPr bwMode="auto">
                  <a:xfrm>
                    <a:off x="0" y="0"/>
                    <a:ext cx="6353175" cy="8982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236F2"/>
    <w:multiLevelType w:val="hybridMultilevel"/>
    <w:tmpl w:val="4F86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DAC4AF8"/>
    <w:multiLevelType w:val="hybridMultilevel"/>
    <w:tmpl w:val="CF129D08"/>
    <w:lvl w:ilvl="0" w:tplc="AE520DC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2C223B"/>
    <w:multiLevelType w:val="hybridMultilevel"/>
    <w:tmpl w:val="B3F2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FA5B42"/>
    <w:multiLevelType w:val="hybridMultilevel"/>
    <w:tmpl w:val="DBB07748"/>
    <w:lvl w:ilvl="0" w:tplc="84EE06AC">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460107"/>
    <w:multiLevelType w:val="multilevel"/>
    <w:tmpl w:val="66AEA15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1C56309"/>
    <w:multiLevelType w:val="hybridMultilevel"/>
    <w:tmpl w:val="AB26645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7305563A"/>
    <w:multiLevelType w:val="hybridMultilevel"/>
    <w:tmpl w:val="1D9AF15A"/>
    <w:lvl w:ilvl="0" w:tplc="AE520DC2">
      <w:start w:val="1"/>
      <w:numFmt w:val="decimal"/>
      <w:lvlText w:val="%1"/>
      <w:lvlJc w:val="left"/>
      <w:pPr>
        <w:tabs>
          <w:tab w:val="num" w:pos="1080"/>
        </w:tabs>
        <w:ind w:left="1080" w:hanging="720"/>
      </w:pPr>
      <w:rPr>
        <w:rFonts w:hint="default"/>
      </w:rPr>
    </w:lvl>
    <w:lvl w:ilvl="1" w:tplc="BBE25E28">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2529">
      <o:colormenu v:ext="edit" fillcolor="none"/>
    </o:shapedefaults>
  </w:hdrShapeDefaults>
  <w:footnotePr>
    <w:footnote w:id="-1"/>
    <w:footnote w:id="0"/>
  </w:footnotePr>
  <w:endnotePr>
    <w:endnote w:id="-1"/>
    <w:endnote w:id="0"/>
  </w:endnotePr>
  <w:compat/>
  <w:rsids>
    <w:rsidRoot w:val="00B92417"/>
    <w:rsid w:val="00010D96"/>
    <w:rsid w:val="0003194B"/>
    <w:rsid w:val="00052218"/>
    <w:rsid w:val="00056F77"/>
    <w:rsid w:val="00066797"/>
    <w:rsid w:val="000758C4"/>
    <w:rsid w:val="000D7220"/>
    <w:rsid w:val="001404F4"/>
    <w:rsid w:val="00153BF3"/>
    <w:rsid w:val="001A0313"/>
    <w:rsid w:val="001A2B9B"/>
    <w:rsid w:val="001F2440"/>
    <w:rsid w:val="002615DA"/>
    <w:rsid w:val="002C3D49"/>
    <w:rsid w:val="002D7150"/>
    <w:rsid w:val="002E41B0"/>
    <w:rsid w:val="002E7CB8"/>
    <w:rsid w:val="00394A88"/>
    <w:rsid w:val="003B5A67"/>
    <w:rsid w:val="004042E1"/>
    <w:rsid w:val="004127FA"/>
    <w:rsid w:val="00437723"/>
    <w:rsid w:val="00454E08"/>
    <w:rsid w:val="004E225F"/>
    <w:rsid w:val="004E49ED"/>
    <w:rsid w:val="004F01AE"/>
    <w:rsid w:val="00516B29"/>
    <w:rsid w:val="0052296A"/>
    <w:rsid w:val="005418A7"/>
    <w:rsid w:val="005768F3"/>
    <w:rsid w:val="005D6B3F"/>
    <w:rsid w:val="005F223A"/>
    <w:rsid w:val="005F789F"/>
    <w:rsid w:val="00694CA9"/>
    <w:rsid w:val="006A40BF"/>
    <w:rsid w:val="006A56C5"/>
    <w:rsid w:val="00701642"/>
    <w:rsid w:val="00780A1B"/>
    <w:rsid w:val="007A14D5"/>
    <w:rsid w:val="007A4F85"/>
    <w:rsid w:val="007D5CA8"/>
    <w:rsid w:val="00844A36"/>
    <w:rsid w:val="008721C0"/>
    <w:rsid w:val="008967BF"/>
    <w:rsid w:val="008A7BCA"/>
    <w:rsid w:val="008D2085"/>
    <w:rsid w:val="009636BB"/>
    <w:rsid w:val="00972EFC"/>
    <w:rsid w:val="009979CA"/>
    <w:rsid w:val="009A03B7"/>
    <w:rsid w:val="009F157F"/>
    <w:rsid w:val="009F2A3D"/>
    <w:rsid w:val="00A01910"/>
    <w:rsid w:val="00A30FA1"/>
    <w:rsid w:val="00A615DB"/>
    <w:rsid w:val="00A97338"/>
    <w:rsid w:val="00AA326D"/>
    <w:rsid w:val="00B00927"/>
    <w:rsid w:val="00B76715"/>
    <w:rsid w:val="00B92417"/>
    <w:rsid w:val="00C07761"/>
    <w:rsid w:val="00C161BD"/>
    <w:rsid w:val="00CC2652"/>
    <w:rsid w:val="00D04F6F"/>
    <w:rsid w:val="00D264D5"/>
    <w:rsid w:val="00D36262"/>
    <w:rsid w:val="00D850F4"/>
    <w:rsid w:val="00DB67ED"/>
    <w:rsid w:val="00DB6F11"/>
    <w:rsid w:val="00DC1091"/>
    <w:rsid w:val="00DC3C36"/>
    <w:rsid w:val="00DF12C1"/>
    <w:rsid w:val="00DF3485"/>
    <w:rsid w:val="00E439E9"/>
    <w:rsid w:val="00E466F0"/>
    <w:rsid w:val="00E60B35"/>
    <w:rsid w:val="00E703E4"/>
    <w:rsid w:val="00EC1BBE"/>
    <w:rsid w:val="00EC4E11"/>
    <w:rsid w:val="00ED0214"/>
    <w:rsid w:val="00EE255A"/>
    <w:rsid w:val="00F07996"/>
    <w:rsid w:val="00F70A0C"/>
    <w:rsid w:val="00F85B30"/>
    <w:rsid w:val="00FA2139"/>
    <w:rsid w:val="00FE19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220"/>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4E08"/>
    <w:pPr>
      <w:tabs>
        <w:tab w:val="center" w:pos="4320"/>
        <w:tab w:val="right" w:pos="8640"/>
      </w:tabs>
    </w:pPr>
  </w:style>
  <w:style w:type="paragraph" w:styleId="Footer">
    <w:name w:val="footer"/>
    <w:basedOn w:val="Normal"/>
    <w:rsid w:val="00454E08"/>
    <w:pPr>
      <w:tabs>
        <w:tab w:val="center" w:pos="4320"/>
        <w:tab w:val="right" w:pos="8640"/>
      </w:tabs>
    </w:pPr>
  </w:style>
  <w:style w:type="paragraph" w:styleId="BodyText">
    <w:name w:val="Body Text"/>
    <w:basedOn w:val="Normal"/>
    <w:rsid w:val="000D7220"/>
    <w:rPr>
      <w:rFonts w:ascii="Times New Roman" w:hAnsi="Times New Roman" w:cs="Times New Roman"/>
      <w:sz w:val="28"/>
      <w:lang w:eastAsia="en-US"/>
    </w:rPr>
  </w:style>
  <w:style w:type="paragraph" w:styleId="BodyTextIndent">
    <w:name w:val="Body Text Indent"/>
    <w:basedOn w:val="Normal"/>
    <w:rsid w:val="000D7220"/>
    <w:pPr>
      <w:ind w:left="720"/>
    </w:pPr>
    <w:rPr>
      <w:rFonts w:ascii="Tahoma" w:hAnsi="Tahoma" w:cs="Tahoma"/>
      <w:bCs/>
      <w:sz w:val="24"/>
      <w:szCs w:val="24"/>
    </w:rPr>
  </w:style>
  <w:style w:type="character" w:styleId="Hyperlink">
    <w:name w:val="Hyperlink"/>
    <w:basedOn w:val="DefaultParagraphFont"/>
    <w:uiPriority w:val="99"/>
    <w:rsid w:val="00F85B30"/>
    <w:rPr>
      <w:color w:val="0000FF"/>
      <w:u w:val="single"/>
    </w:rPr>
  </w:style>
  <w:style w:type="table" w:styleId="TableGrid">
    <w:name w:val="Table Grid"/>
    <w:basedOn w:val="TableNormal"/>
    <w:rsid w:val="001A0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EE255A"/>
    <w:rPr>
      <w:sz w:val="16"/>
      <w:szCs w:val="16"/>
    </w:rPr>
  </w:style>
  <w:style w:type="paragraph" w:styleId="CommentText">
    <w:name w:val="annotation text"/>
    <w:basedOn w:val="Normal"/>
    <w:link w:val="CommentTextChar"/>
    <w:uiPriority w:val="99"/>
    <w:rsid w:val="00EE255A"/>
  </w:style>
  <w:style w:type="character" w:customStyle="1" w:styleId="CommentTextChar">
    <w:name w:val="Comment Text Char"/>
    <w:basedOn w:val="DefaultParagraphFont"/>
    <w:link w:val="CommentText"/>
    <w:uiPriority w:val="99"/>
    <w:rsid w:val="00EE255A"/>
    <w:rPr>
      <w:rFonts w:ascii="Arial" w:hAnsi="Arial" w:cs="Arial"/>
    </w:rPr>
  </w:style>
  <w:style w:type="paragraph" w:styleId="CommentSubject">
    <w:name w:val="annotation subject"/>
    <w:basedOn w:val="CommentText"/>
    <w:next w:val="CommentText"/>
    <w:link w:val="CommentSubjectChar"/>
    <w:rsid w:val="00EE255A"/>
    <w:rPr>
      <w:b/>
      <w:bCs/>
    </w:rPr>
  </w:style>
  <w:style w:type="character" w:customStyle="1" w:styleId="CommentSubjectChar">
    <w:name w:val="Comment Subject Char"/>
    <w:basedOn w:val="CommentTextChar"/>
    <w:link w:val="CommentSubject"/>
    <w:rsid w:val="00EE255A"/>
    <w:rPr>
      <w:b/>
      <w:bCs/>
    </w:rPr>
  </w:style>
  <w:style w:type="paragraph" w:styleId="BalloonText">
    <w:name w:val="Balloon Text"/>
    <w:basedOn w:val="Normal"/>
    <w:link w:val="BalloonTextChar"/>
    <w:rsid w:val="00EE255A"/>
    <w:rPr>
      <w:rFonts w:ascii="Tahoma" w:hAnsi="Tahoma" w:cs="Tahoma"/>
      <w:sz w:val="16"/>
      <w:szCs w:val="16"/>
    </w:rPr>
  </w:style>
  <w:style w:type="character" w:customStyle="1" w:styleId="BalloonTextChar">
    <w:name w:val="Balloon Text Char"/>
    <w:basedOn w:val="DefaultParagraphFont"/>
    <w:link w:val="BalloonText"/>
    <w:rsid w:val="00EE255A"/>
    <w:rPr>
      <w:rFonts w:ascii="Tahoma" w:hAnsi="Tahoma" w:cs="Tahoma"/>
      <w:sz w:val="16"/>
      <w:szCs w:val="16"/>
    </w:rPr>
  </w:style>
  <w:style w:type="paragraph" w:styleId="ListParagraph">
    <w:name w:val="List Paragraph"/>
    <w:basedOn w:val="Normal"/>
    <w:uiPriority w:val="34"/>
    <w:qFormat/>
    <w:rsid w:val="00E466F0"/>
    <w:pPr>
      <w:ind w:left="720"/>
    </w:pPr>
    <w:rPr>
      <w:rFonts w:ascii="Calibri" w:eastAsiaTheme="minorHAnsi" w:hAnsi="Calibri" w:cs="Calibri"/>
      <w:sz w:val="22"/>
      <w:szCs w:val="22"/>
    </w:rPr>
  </w:style>
  <w:style w:type="paragraph" w:styleId="Revision">
    <w:name w:val="Revision"/>
    <w:hidden/>
    <w:uiPriority w:val="99"/>
    <w:semiHidden/>
    <w:rsid w:val="004E225F"/>
    <w:rPr>
      <w:rFonts w:ascii="Arial" w:hAnsi="Arial" w:cs="Arial"/>
    </w:rPr>
  </w:style>
  <w:style w:type="character" w:styleId="FollowedHyperlink">
    <w:name w:val="FollowedHyperlink"/>
    <w:basedOn w:val="DefaultParagraphFont"/>
    <w:rsid w:val="009F15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083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a.upton@agored.org.uk" TargetMode="External"/><Relationship Id="rId4" Type="http://schemas.openxmlformats.org/officeDocument/2006/relationships/settings" Target="settings.xml"/><Relationship Id="rId9" Type="http://schemas.openxmlformats.org/officeDocument/2006/relationships/hyperlink" Target="http://www.agored.org.uk/default.aspx?id=381&a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Stationery%20templates\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4DE94-D774-4238-872F-865B92A2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Template>
  <TotalTime>0</TotalTime>
  <Pages>3</Pages>
  <Words>920</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Bulletin</vt:lpstr>
    </vt:vector>
  </TitlesOfParts>
  <Company>OCN Wales</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dc:title>
  <dc:creator>janet</dc:creator>
  <cp:lastModifiedBy>teri.marshall</cp:lastModifiedBy>
  <cp:revision>3</cp:revision>
  <cp:lastPrinted>1601-01-01T00:00:00Z</cp:lastPrinted>
  <dcterms:created xsi:type="dcterms:W3CDTF">2012-02-01T08:45:00Z</dcterms:created>
  <dcterms:modified xsi:type="dcterms:W3CDTF">2012-02-01T08:46:00Z</dcterms:modified>
</cp:coreProperties>
</file>