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88"/>
        <w:gridCol w:w="1948"/>
      </w:tblGrid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7C3C5D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Downey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10.01.13</w:t>
            </w:r>
            <w:r w:rsidR="007C3C5D">
              <w:rPr>
                <w:rFonts w:ascii="Arial" w:hAnsi="Arial" w:cs="Arial"/>
              </w:rPr>
              <w:t xml:space="preserve"> (Llanishen), </w:t>
            </w:r>
            <w:r>
              <w:rPr>
                <w:rFonts w:ascii="Arial" w:hAnsi="Arial" w:cs="Arial"/>
              </w:rPr>
              <w:t>04.02.13</w:t>
            </w:r>
            <w:r w:rsidR="007C3C5D">
              <w:rPr>
                <w:rFonts w:ascii="Arial" w:hAnsi="Arial" w:cs="Arial"/>
              </w:rPr>
              <w:t xml:space="preserve"> (Botanic Gardens)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7109BE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</w:tr>
      <w:tr w:rsidR="00E93703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E93703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SSA 5: Construction, Planning and the Built Environment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Brickwork: Introduction to Building a Three Brick Square Hollow Pillar</w:t>
            </w:r>
          </w:p>
          <w:p w:rsidR="007C3C5D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 Tiling</w:t>
            </w:r>
          </w:p>
          <w:p w:rsidR="007C3C5D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Woodwork Tools and Equipment</w:t>
            </w:r>
          </w:p>
          <w:p w:rsidR="007C3C5D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Painting Skills</w:t>
            </w:r>
          </w:p>
          <w:p w:rsidR="008A79B2" w:rsidRPr="0062283E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Brick Thick Return Quoin Stretcher Bond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D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TG2EWE004                                            </w:t>
            </w:r>
          </w:p>
          <w:p w:rsidR="00B03C19" w:rsidRDefault="00B03C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TG41WN001</w:t>
            </w:r>
          </w:p>
          <w:p w:rsidR="00B03C19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WK1E3CY001</w:t>
            </w:r>
          </w:p>
          <w:p w:rsidR="00B03C19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TG81WE025</w:t>
            </w:r>
          </w:p>
          <w:p w:rsidR="00B03C19" w:rsidRPr="00B03C19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TG21CY010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E93703">
        <w:trPr>
          <w:trHeight w:val="256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B03C19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Brickwork: Introduction to Building a Three Brick Square Hollow Pillar (TG2EWE004)  </w:t>
            </w:r>
          </w:p>
          <w:p w:rsidR="007C3C5D" w:rsidRDefault="00B03C19" w:rsidP="007C3C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</w:t>
            </w:r>
            <w:r w:rsidR="00670329">
              <w:rPr>
                <w:rFonts w:ascii="Arial" w:hAnsi="Arial" w:cs="Arial"/>
              </w:rPr>
              <w:t>y an observation is included as</w:t>
            </w:r>
            <w:r>
              <w:rPr>
                <w:rFonts w:ascii="Arial" w:hAnsi="Arial" w:cs="Arial"/>
              </w:rPr>
              <w:t xml:space="preserve"> assessment evidence for this unit. No assessment evidence had been completed by the learner.</w:t>
            </w:r>
          </w:p>
          <w:p w:rsidR="007C3C5D" w:rsidRDefault="007C3C5D" w:rsidP="007C3C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is </w:t>
            </w:r>
            <w:r w:rsidR="00B03C19">
              <w:rPr>
                <w:rFonts w:ascii="Arial" w:hAnsi="Arial" w:cs="Arial"/>
              </w:rPr>
              <w:t xml:space="preserve">not </w:t>
            </w:r>
            <w:r>
              <w:rPr>
                <w:rFonts w:ascii="Arial" w:hAnsi="Arial" w:cs="Arial"/>
              </w:rPr>
              <w:t>sufficient for a 3 credit unit (30 hours of learning).</w:t>
            </w:r>
          </w:p>
          <w:p w:rsidR="007C3C5D" w:rsidRDefault="00B03C19" w:rsidP="007C3C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statement is pre-printed which is poor practice.</w:t>
            </w:r>
          </w:p>
          <w:p w:rsidR="00B03C19" w:rsidRDefault="00B03C19" w:rsidP="007C3C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statement is not individual to the learner and does not detail how the learner performed in the observed task.</w:t>
            </w:r>
          </w:p>
          <w:p w:rsidR="00135A90" w:rsidRDefault="00135A90" w:rsidP="007C3C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written feedback given to the learner. The delegates discussed the importance of feedback to aid learners’ development and progression.</w:t>
            </w:r>
          </w:p>
          <w:p w:rsidR="00E30CD3" w:rsidRDefault="00135A90" w:rsidP="00E30C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</w:t>
            </w:r>
            <w:r w:rsidR="00670329">
              <w:rPr>
                <w:rFonts w:ascii="Arial" w:hAnsi="Arial" w:cs="Arial"/>
              </w:rPr>
              <w:t>disagreed with</w:t>
            </w:r>
            <w:r>
              <w:rPr>
                <w:rFonts w:ascii="Arial" w:hAnsi="Arial" w:cs="Arial"/>
              </w:rPr>
              <w:t xml:space="preserve"> the assessment decision and </w:t>
            </w:r>
            <w:r w:rsidR="00670329">
              <w:rPr>
                <w:rFonts w:ascii="Arial" w:hAnsi="Arial" w:cs="Arial"/>
              </w:rPr>
              <w:t xml:space="preserve">agreed that </w:t>
            </w:r>
            <w:r>
              <w:rPr>
                <w:rFonts w:ascii="Arial" w:hAnsi="Arial" w:cs="Arial"/>
              </w:rPr>
              <w:t xml:space="preserve">credits </w:t>
            </w:r>
            <w:r w:rsidR="004252EC">
              <w:rPr>
                <w:rFonts w:ascii="Arial" w:hAnsi="Arial" w:cs="Arial"/>
              </w:rPr>
              <w:t>should not be</w:t>
            </w:r>
            <w:r>
              <w:rPr>
                <w:rFonts w:ascii="Arial" w:hAnsi="Arial" w:cs="Arial"/>
              </w:rPr>
              <w:t xml:space="preserve">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4252EC" w:rsidRDefault="004252EC" w:rsidP="00425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 Tiling (TG41WN001)</w:t>
            </w:r>
          </w:p>
          <w:p w:rsidR="00E30CD3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confusing, not structured clearly and mapped </w:t>
            </w:r>
            <w:r w:rsidR="0067032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correctly to the assessment criteria.</w:t>
            </w:r>
          </w:p>
          <w:p w:rsidR="00C56A86" w:rsidRDefault="00C56A86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OCN are made throughout the workbook. Delegates were informed of the need to remove all references to OCN. </w:t>
            </w:r>
          </w:p>
          <w:p w:rsidR="00E30CD3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Photographic evidence is used but is not annotated by the learner and/or tutor. Photographic evidence must be annotated to detail what is taking place in each photograph.</w:t>
            </w:r>
          </w:p>
          <w:p w:rsidR="004252EC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observation/tutor statement would support the assessment process.</w:t>
            </w:r>
          </w:p>
          <w:p w:rsidR="00E30CD3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Delegates agreed that feedback from the learner is clear and adds value to the assessment process.</w:t>
            </w:r>
          </w:p>
          <w:p w:rsidR="004252EC" w:rsidRDefault="00551ED0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252EC">
              <w:rPr>
                <w:rFonts w:ascii="Arial" w:hAnsi="Arial" w:cs="Arial"/>
              </w:rPr>
              <w:t>ssessment criteria are not clearly met.</w:t>
            </w:r>
          </w:p>
          <w:p w:rsidR="00670329" w:rsidRDefault="00670329" w:rsidP="006703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disagreed with the assessment decision and agreed that credits should not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4252EC" w:rsidRDefault="004252EC" w:rsidP="00425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Woodwork Tools and Equipment (WK1E3CY001)</w:t>
            </w:r>
          </w:p>
          <w:p w:rsidR="004252EC" w:rsidRDefault="004252EC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evidence meets the assessment criteria.</w:t>
            </w:r>
          </w:p>
          <w:p w:rsidR="00B718A3" w:rsidRDefault="004252EC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718A3">
              <w:rPr>
                <w:rFonts w:ascii="Arial" w:hAnsi="Arial" w:cs="Arial"/>
              </w:rPr>
              <w:t xml:space="preserve">eedback </w:t>
            </w:r>
            <w:r>
              <w:rPr>
                <w:rFonts w:ascii="Arial" w:hAnsi="Arial" w:cs="Arial"/>
              </w:rPr>
              <w:t>to</w:t>
            </w:r>
            <w:r w:rsidR="00B718A3">
              <w:rPr>
                <w:rFonts w:ascii="Arial" w:hAnsi="Arial" w:cs="Arial"/>
              </w:rPr>
              <w:t xml:space="preserve"> the learner</w:t>
            </w:r>
            <w:r>
              <w:rPr>
                <w:rFonts w:ascii="Arial" w:hAnsi="Arial" w:cs="Arial"/>
              </w:rPr>
              <w:t xml:space="preserve"> is limited</w:t>
            </w:r>
            <w:r w:rsidR="00B718A3">
              <w:rPr>
                <w:rFonts w:ascii="Arial" w:hAnsi="Arial" w:cs="Arial"/>
              </w:rPr>
              <w:t>.</w:t>
            </w:r>
          </w:p>
          <w:p w:rsidR="004252EC" w:rsidRDefault="004252EC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questioned the sufficiency of the unit and the limited number of assessment criteria for a 3 credit unit. This feedback will be passed to the Business Development Directorate at Agored Cymru.</w:t>
            </w:r>
          </w:p>
          <w:p w:rsidR="00B718A3" w:rsidRDefault="00C56A86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learner’s standard of literacy is poor and the writing is difficult to read. Delegates discussed the importance of providing feedback </w:t>
            </w:r>
            <w:r w:rsidR="00670329">
              <w:rPr>
                <w:rFonts w:ascii="Arial" w:hAnsi="Arial" w:cs="Arial"/>
              </w:rPr>
              <w:t xml:space="preserve">related </w:t>
            </w:r>
            <w:r>
              <w:rPr>
                <w:rFonts w:ascii="Arial" w:hAnsi="Arial" w:cs="Arial"/>
              </w:rPr>
              <w:t>to literacy when a learner’s literacy level is poor.</w:t>
            </w:r>
            <w:r w:rsidR="00670329">
              <w:rPr>
                <w:rFonts w:ascii="Arial" w:hAnsi="Arial" w:cs="Arial"/>
              </w:rPr>
              <w:t xml:space="preserve"> Delegates agreed that a</w:t>
            </w:r>
            <w:r>
              <w:rPr>
                <w:rFonts w:ascii="Arial" w:hAnsi="Arial" w:cs="Arial"/>
              </w:rPr>
              <w:t xml:space="preserve">ll tutors have a duty to provide feedback relating to literacy. </w:t>
            </w:r>
          </w:p>
          <w:p w:rsidR="00C56A86" w:rsidRDefault="00C56A86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also suggested that a reasonable adjustment could be made if there is a valid reason for the poor level of literacy i.e. learning difficulties. Delegates suggested that photographic evidence supported by a tutor statement could be used as assessment evidence.</w:t>
            </w:r>
          </w:p>
          <w:p w:rsidR="00B718A3" w:rsidRDefault="007A75D3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assessment decision is correct and credits can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C56A86" w:rsidRDefault="00C56A86" w:rsidP="00C56A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Painting Skills (TG81WE025)</w:t>
            </w:r>
          </w:p>
          <w:p w:rsidR="00B718A3" w:rsidRDefault="00C56A86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structured clearly and mapped effectively to the assessment criteria. </w:t>
            </w:r>
          </w:p>
          <w:p w:rsidR="00C56A86" w:rsidRDefault="00C56A86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there is a significant focus on knowledge questions when the unit should be focussing on practical achievement as outlined in the unit specification.</w:t>
            </w:r>
          </w:p>
          <w:p w:rsidR="00C56A86" w:rsidRDefault="00C56A86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Witness statements are limited in detail and do not </w:t>
            </w:r>
            <w:r w:rsidR="00904906">
              <w:rPr>
                <w:rFonts w:ascii="Arial" w:hAnsi="Arial" w:cs="Arial"/>
              </w:rPr>
              <w:t>detail how the learner performed in the observed task.</w:t>
            </w:r>
            <w:r w:rsidR="00551ED0">
              <w:rPr>
                <w:rFonts w:ascii="Arial" w:hAnsi="Arial" w:cs="Arial"/>
              </w:rPr>
              <w:t xml:space="preserve"> Delegates agreed that these witness statements are not required as there is sufficient evidence to meet the assessment criteria.</w:t>
            </w:r>
          </w:p>
          <w:p w:rsidR="00551ED0" w:rsidRDefault="00551ED0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Photographic evidence is annotated by the tutor. An annotation from the learner would support the assessment process.</w:t>
            </w:r>
          </w:p>
          <w:p w:rsidR="00B718A3" w:rsidRDefault="007A75D3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agreed that the assessment decision is correct and </w:t>
            </w:r>
            <w:r w:rsidR="00551ED0">
              <w:rPr>
                <w:rFonts w:ascii="Arial" w:hAnsi="Arial" w:cs="Arial"/>
              </w:rPr>
              <w:t>credits can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B718A3" w:rsidRPr="00551ED0" w:rsidRDefault="00551ED0" w:rsidP="00551ED0">
            <w:pPr>
              <w:rPr>
                <w:rFonts w:ascii="Arial" w:hAnsi="Arial" w:cs="Arial"/>
              </w:rPr>
            </w:pPr>
            <w:r w:rsidRPr="00551ED0">
              <w:rPr>
                <w:rFonts w:ascii="Arial" w:hAnsi="Arial" w:cs="Arial"/>
              </w:rPr>
              <w:t>½ Brick Thick Return Quoin Stretcher Bond</w:t>
            </w:r>
            <w:r>
              <w:rPr>
                <w:rFonts w:ascii="Arial" w:hAnsi="Arial" w:cs="Arial"/>
              </w:rPr>
              <w:t xml:space="preserve"> (TG21CY010)</w:t>
            </w:r>
          </w:p>
          <w:p w:rsidR="00551ED0" w:rsidRDefault="00551ED0" w:rsidP="00B71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Workbook is structured very clearly and mapped effectively to the assessment criteria.</w:t>
            </w:r>
          </w:p>
          <w:p w:rsidR="00B718A3" w:rsidRDefault="00551ED0" w:rsidP="00B71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Photographs</w:t>
            </w:r>
            <w:r w:rsidR="00B718A3">
              <w:rPr>
                <w:rFonts w:ascii="Arial" w:hAnsi="Arial" w:cs="Arial"/>
              </w:rPr>
              <w:t xml:space="preserve"> are annotated by </w:t>
            </w:r>
            <w:r>
              <w:rPr>
                <w:rFonts w:ascii="Arial" w:hAnsi="Arial" w:cs="Arial"/>
              </w:rPr>
              <w:t>both the</w:t>
            </w:r>
            <w:r w:rsidR="00B718A3">
              <w:rPr>
                <w:rFonts w:ascii="Arial" w:hAnsi="Arial" w:cs="Arial"/>
              </w:rPr>
              <w:t xml:space="preserve"> learner</w:t>
            </w:r>
            <w:r>
              <w:rPr>
                <w:rFonts w:ascii="Arial" w:hAnsi="Arial" w:cs="Arial"/>
              </w:rPr>
              <w:t xml:space="preserve"> and tutor. Annotations are to a very good standard. This is good practice.</w:t>
            </w:r>
            <w:r w:rsidR="00B718A3">
              <w:rPr>
                <w:rFonts w:ascii="Arial" w:hAnsi="Arial" w:cs="Arial"/>
              </w:rPr>
              <w:t xml:space="preserve"> 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sufficient evidence to meet all assessment criteria.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this was an example of a very good piece of learner evidence and has been assessed accurately.</w:t>
            </w:r>
          </w:p>
          <w:p w:rsidR="00C10ADB" w:rsidRPr="00551ED0" w:rsidRDefault="00551ED0" w:rsidP="00551E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1ED0">
              <w:rPr>
                <w:rFonts w:ascii="Arial" w:hAnsi="Arial" w:cs="Arial"/>
              </w:rPr>
              <w:t>Delegates agreed that the assessment decision is correct and credits can be awarded.</w:t>
            </w:r>
          </w:p>
        </w:tc>
      </w:tr>
    </w:tbl>
    <w:p w:rsidR="0062283E" w:rsidRDefault="0062283E" w:rsidP="00D15836">
      <w:pPr>
        <w:rPr>
          <w:rFonts w:ascii="Arial" w:hAnsi="Arial" w:cs="Arial"/>
        </w:rPr>
      </w:pPr>
    </w:p>
    <w:p w:rsidR="00670329" w:rsidRPr="0062283E" w:rsidRDefault="00670329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E93703">
        <w:trPr>
          <w:trHeight w:val="399"/>
        </w:trPr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lastRenderedPageBreak/>
              <w:t xml:space="preserve">Section </w:t>
            </w:r>
            <w:r w:rsidR="00A8389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551ED0" w:rsidRPr="00551ED0" w:rsidRDefault="00551ED0" w:rsidP="00551ED0">
            <w:pPr>
              <w:rPr>
                <w:rFonts w:ascii="Arial" w:hAnsi="Arial" w:cs="Arial"/>
              </w:rPr>
            </w:pPr>
            <w:r w:rsidRPr="00551ED0">
              <w:rPr>
                <w:rFonts w:ascii="Arial" w:hAnsi="Arial" w:cs="Arial"/>
              </w:rPr>
              <w:t>½ Brick Thick Return Quoin Stretcher Bond</w:t>
            </w:r>
            <w:r>
              <w:rPr>
                <w:rFonts w:ascii="Arial" w:hAnsi="Arial" w:cs="Arial"/>
              </w:rPr>
              <w:t xml:space="preserve"> (TG21CY010)</w:t>
            </w:r>
          </w:p>
          <w:p w:rsidR="008A79B2" w:rsidRPr="00551ED0" w:rsidRDefault="00551ED0" w:rsidP="00670329">
            <w:pPr>
              <w:rPr>
                <w:rFonts w:ascii="Arial" w:hAnsi="Arial" w:cs="Arial"/>
              </w:rPr>
            </w:pPr>
            <w:r w:rsidRPr="00551ED0">
              <w:rPr>
                <w:rFonts w:ascii="Arial" w:hAnsi="Arial" w:cs="Arial"/>
              </w:rPr>
              <w:t>Photographs are annotated by both the learner and tutor. Annotations are</w:t>
            </w:r>
            <w:r w:rsidR="00670329">
              <w:rPr>
                <w:rFonts w:ascii="Arial" w:hAnsi="Arial" w:cs="Arial"/>
              </w:rPr>
              <w:t xml:space="preserve"> individual and detailed</w:t>
            </w:r>
            <w:r w:rsidRPr="00551ED0">
              <w:rPr>
                <w:rFonts w:ascii="Arial" w:hAnsi="Arial" w:cs="Arial"/>
              </w:rPr>
              <w:t xml:space="preserve"> to a very good standard</w:t>
            </w:r>
            <w:r w:rsidR="00670329">
              <w:rPr>
                <w:rFonts w:ascii="Arial" w:hAnsi="Arial" w:cs="Arial"/>
              </w:rPr>
              <w:t xml:space="preserve"> which is good practice.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E93703">
        <w:trPr>
          <w:trHeight w:val="444"/>
        </w:trPr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551ED0" w:rsidRDefault="00551ED0" w:rsidP="00551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Brickwork: Introduction to Building a Three Brick Square Hollow Pillar (TG2EWE004)  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an ob</w:t>
            </w:r>
            <w:r w:rsidR="00670329">
              <w:rPr>
                <w:rFonts w:ascii="Arial" w:hAnsi="Arial" w:cs="Arial"/>
              </w:rPr>
              <w:t>servation is included as</w:t>
            </w:r>
            <w:r>
              <w:rPr>
                <w:rFonts w:ascii="Arial" w:hAnsi="Arial" w:cs="Arial"/>
              </w:rPr>
              <w:t xml:space="preserve"> assessment evidence for this unit. No assessment evidence had been completed by the learner.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is not sufficient for a 3 credit unit (30 hours of learning).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statement is pre-printed which is poor practice.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statement is not individual to the learner and does not detail how the learner performed in the observed task.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written feedback given to the learner. 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551ED0" w:rsidRDefault="00551ED0" w:rsidP="00551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 Tiling (TG41WN001)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confusing, not structured clearly and mapped </w:t>
            </w:r>
            <w:r w:rsidR="0067032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correctly to the assessment criteria.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Photographic evidence is used but is not annotated by the learner and/or tutor.</w:t>
            </w:r>
          </w:p>
          <w:p w:rsidR="00551ED0" w:rsidRDefault="00551ED0" w:rsidP="00551E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criteria are not clearly met.</w:t>
            </w:r>
          </w:p>
          <w:p w:rsidR="00551ED0" w:rsidRDefault="00551ED0" w:rsidP="00551ED0">
            <w:pPr>
              <w:pStyle w:val="ListParagraph"/>
              <w:rPr>
                <w:rFonts w:ascii="Arial" w:hAnsi="Arial" w:cs="Arial"/>
              </w:rPr>
            </w:pPr>
          </w:p>
          <w:p w:rsidR="00551ED0" w:rsidRDefault="00551ED0" w:rsidP="00551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Woodwork Tools and Equipment (WK1E3CY001)</w:t>
            </w:r>
          </w:p>
          <w:p w:rsidR="00670329" w:rsidRDefault="00551ED0" w:rsidP="0067032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to the learner is limited.</w:t>
            </w:r>
          </w:p>
          <w:p w:rsidR="00670329" w:rsidRPr="00670329" w:rsidRDefault="00670329" w:rsidP="00670329">
            <w:pPr>
              <w:pStyle w:val="ListParagraph"/>
              <w:rPr>
                <w:rFonts w:ascii="Arial" w:hAnsi="Arial" w:cs="Arial"/>
              </w:rPr>
            </w:pPr>
          </w:p>
          <w:p w:rsidR="00670329" w:rsidRDefault="00670329" w:rsidP="00670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Painting Skills (TG81WE025)</w:t>
            </w:r>
          </w:p>
          <w:p w:rsidR="00670329" w:rsidRPr="00670329" w:rsidRDefault="00670329" w:rsidP="0067032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Witness statements are limited in detail and do not detail how the learner performed in the observed task. </w:t>
            </w:r>
          </w:p>
        </w:tc>
      </w:tr>
    </w:tbl>
    <w:p w:rsidR="008A79B2" w:rsidRDefault="008A79B2" w:rsidP="008A79B2">
      <w:pPr>
        <w:spacing w:after="0" w:line="240" w:lineRule="auto"/>
        <w:rPr>
          <w:rFonts w:ascii="Arial" w:hAnsi="Arial" w:cs="Arial"/>
        </w:rPr>
      </w:pPr>
    </w:p>
    <w:p w:rsidR="007109BE" w:rsidRPr="0062283E" w:rsidRDefault="007109BE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835"/>
      </w:tblGrid>
      <w:tr w:rsidR="008A79B2" w:rsidRPr="0062283E" w:rsidTr="007109BE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:rsidR="007109B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  <w:p w:rsidR="00670329" w:rsidRPr="0062283E" w:rsidRDefault="00670329" w:rsidP="00980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670329" w:rsidRDefault="00670329" w:rsidP="00670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Woodwork Tools and Equipment (WK1E3CY001)</w:t>
            </w:r>
          </w:p>
          <w:p w:rsidR="0062283E" w:rsidRPr="0062283E" w:rsidRDefault="00670329" w:rsidP="00670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Development Directorate to review the </w:t>
            </w:r>
            <w:r w:rsidRPr="00670329">
              <w:rPr>
                <w:rFonts w:ascii="Arial" w:hAnsi="Arial" w:cs="Arial"/>
              </w:rPr>
              <w:t xml:space="preserve">sufficiency of the unit and the limited number of assessment criteria for a 3 credit unit. </w:t>
            </w:r>
          </w:p>
        </w:tc>
      </w:tr>
    </w:tbl>
    <w:p w:rsidR="00E93703" w:rsidRPr="0062283E" w:rsidRDefault="00E93703" w:rsidP="00D15836">
      <w:pPr>
        <w:rPr>
          <w:rFonts w:ascii="Arial" w:hAnsi="Arial" w:cs="Arial"/>
        </w:rPr>
      </w:pPr>
    </w:p>
    <w:sectPr w:rsidR="00E93703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29" w:rsidRDefault="00670329" w:rsidP="00D15836">
      <w:pPr>
        <w:spacing w:after="0" w:line="240" w:lineRule="auto"/>
      </w:pPr>
      <w:r>
        <w:separator/>
      </w:r>
    </w:p>
  </w:endnote>
  <w:endnote w:type="continuationSeparator" w:id="0">
    <w:p w:rsidR="00670329" w:rsidRDefault="00670329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29" w:rsidRDefault="00670329" w:rsidP="00D15836">
      <w:pPr>
        <w:spacing w:after="0" w:line="240" w:lineRule="auto"/>
      </w:pPr>
      <w:r>
        <w:separator/>
      </w:r>
    </w:p>
  </w:footnote>
  <w:footnote w:type="continuationSeparator" w:id="0">
    <w:p w:rsidR="00670329" w:rsidRDefault="00670329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7"/>
    </w:tblGrid>
    <w:tr w:rsidR="00670329" w:rsidTr="00C97777">
      <w:trPr>
        <w:trHeight w:val="611"/>
      </w:trPr>
      <w:tc>
        <w:tcPr>
          <w:tcW w:w="927" w:type="dxa"/>
          <w:vAlign w:val="center"/>
        </w:tcPr>
        <w:p w:rsidR="00670329" w:rsidRPr="00312DA5" w:rsidRDefault="00670329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670329" w:rsidRDefault="00AA456F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670329" w:rsidRDefault="00670329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E77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A57"/>
    <w:multiLevelType w:val="hybridMultilevel"/>
    <w:tmpl w:val="C628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411"/>
    <w:multiLevelType w:val="hybridMultilevel"/>
    <w:tmpl w:val="D44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5525"/>
    <w:multiLevelType w:val="hybridMultilevel"/>
    <w:tmpl w:val="44D0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038F7"/>
    <w:multiLevelType w:val="hybridMultilevel"/>
    <w:tmpl w:val="3068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E4B6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311A6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0185D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C4F71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72446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409C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7BD6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D26B0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8708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649FE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86270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7686"/>
    <w:multiLevelType w:val="hybridMultilevel"/>
    <w:tmpl w:val="8A22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51B1D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43C40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76A68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C6910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816DE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5CA1"/>
    <w:multiLevelType w:val="hybridMultilevel"/>
    <w:tmpl w:val="B9E8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4"/>
  </w:num>
  <w:num w:numId="5">
    <w:abstractNumId w:val="17"/>
  </w:num>
  <w:num w:numId="6">
    <w:abstractNumId w:val="21"/>
  </w:num>
  <w:num w:numId="7">
    <w:abstractNumId w:val="22"/>
  </w:num>
  <w:num w:numId="8">
    <w:abstractNumId w:val="12"/>
  </w:num>
  <w:num w:numId="9">
    <w:abstractNumId w:val="3"/>
  </w:num>
  <w:num w:numId="10">
    <w:abstractNumId w:val="19"/>
  </w:num>
  <w:num w:numId="11">
    <w:abstractNumId w:val="13"/>
  </w:num>
  <w:num w:numId="12">
    <w:abstractNumId w:val="15"/>
  </w:num>
  <w:num w:numId="13">
    <w:abstractNumId w:val="9"/>
  </w:num>
  <w:num w:numId="14">
    <w:abstractNumId w:val="1"/>
  </w:num>
  <w:num w:numId="15">
    <w:abstractNumId w:val="16"/>
  </w:num>
  <w:num w:numId="16">
    <w:abstractNumId w:val="2"/>
  </w:num>
  <w:num w:numId="17">
    <w:abstractNumId w:val="4"/>
  </w:num>
  <w:num w:numId="18">
    <w:abstractNumId w:val="18"/>
  </w:num>
  <w:num w:numId="19">
    <w:abstractNumId w:val="6"/>
  </w:num>
  <w:num w:numId="20">
    <w:abstractNumId w:val="11"/>
  </w:num>
  <w:num w:numId="21">
    <w:abstractNumId w:val="8"/>
  </w:num>
  <w:num w:numId="22">
    <w:abstractNumId w:val="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B3FAB"/>
    <w:rsid w:val="000C434C"/>
    <w:rsid w:val="000D6F15"/>
    <w:rsid w:val="000E5176"/>
    <w:rsid w:val="000F4C64"/>
    <w:rsid w:val="000F5142"/>
    <w:rsid w:val="00135A90"/>
    <w:rsid w:val="001A0D86"/>
    <w:rsid w:val="001B33D1"/>
    <w:rsid w:val="001C399F"/>
    <w:rsid w:val="001E3F36"/>
    <w:rsid w:val="00212EF0"/>
    <w:rsid w:val="00252173"/>
    <w:rsid w:val="00255F14"/>
    <w:rsid w:val="002A6EB5"/>
    <w:rsid w:val="002E4FAA"/>
    <w:rsid w:val="002F7378"/>
    <w:rsid w:val="00312DA5"/>
    <w:rsid w:val="00341656"/>
    <w:rsid w:val="00347C61"/>
    <w:rsid w:val="003766C3"/>
    <w:rsid w:val="00382B4C"/>
    <w:rsid w:val="003A70E8"/>
    <w:rsid w:val="003D3DF2"/>
    <w:rsid w:val="003F4215"/>
    <w:rsid w:val="0042482B"/>
    <w:rsid w:val="004252EC"/>
    <w:rsid w:val="00446536"/>
    <w:rsid w:val="00466AA4"/>
    <w:rsid w:val="004A4D78"/>
    <w:rsid w:val="004C05F1"/>
    <w:rsid w:val="004C4BC1"/>
    <w:rsid w:val="004E2ED4"/>
    <w:rsid w:val="004F7FF0"/>
    <w:rsid w:val="00515DAA"/>
    <w:rsid w:val="005454C8"/>
    <w:rsid w:val="00551ED0"/>
    <w:rsid w:val="005C7325"/>
    <w:rsid w:val="005E19C1"/>
    <w:rsid w:val="005F3E5E"/>
    <w:rsid w:val="00611DF2"/>
    <w:rsid w:val="00621438"/>
    <w:rsid w:val="0062283E"/>
    <w:rsid w:val="0063609D"/>
    <w:rsid w:val="00642B84"/>
    <w:rsid w:val="00653698"/>
    <w:rsid w:val="00670329"/>
    <w:rsid w:val="006856D6"/>
    <w:rsid w:val="006B6456"/>
    <w:rsid w:val="007109BE"/>
    <w:rsid w:val="00772A85"/>
    <w:rsid w:val="00774180"/>
    <w:rsid w:val="00797820"/>
    <w:rsid w:val="007A5934"/>
    <w:rsid w:val="007A75D3"/>
    <w:rsid w:val="007C3C5D"/>
    <w:rsid w:val="007F3101"/>
    <w:rsid w:val="008142EF"/>
    <w:rsid w:val="008145D5"/>
    <w:rsid w:val="00814A01"/>
    <w:rsid w:val="0081788B"/>
    <w:rsid w:val="00854C49"/>
    <w:rsid w:val="00867F2C"/>
    <w:rsid w:val="008A79B2"/>
    <w:rsid w:val="008D7D48"/>
    <w:rsid w:val="008E234E"/>
    <w:rsid w:val="008E2D6D"/>
    <w:rsid w:val="008E2E00"/>
    <w:rsid w:val="00904906"/>
    <w:rsid w:val="00936E13"/>
    <w:rsid w:val="009624AF"/>
    <w:rsid w:val="00980FD2"/>
    <w:rsid w:val="009F57B4"/>
    <w:rsid w:val="00A228EA"/>
    <w:rsid w:val="00A27564"/>
    <w:rsid w:val="00A8389D"/>
    <w:rsid w:val="00A96FE0"/>
    <w:rsid w:val="00AA456F"/>
    <w:rsid w:val="00AB67C2"/>
    <w:rsid w:val="00B03C19"/>
    <w:rsid w:val="00B30F10"/>
    <w:rsid w:val="00B6257D"/>
    <w:rsid w:val="00B62A48"/>
    <w:rsid w:val="00B718A3"/>
    <w:rsid w:val="00B83002"/>
    <w:rsid w:val="00B8469D"/>
    <w:rsid w:val="00B857A8"/>
    <w:rsid w:val="00C10ADB"/>
    <w:rsid w:val="00C23C64"/>
    <w:rsid w:val="00C402BF"/>
    <w:rsid w:val="00C52FD6"/>
    <w:rsid w:val="00C56A86"/>
    <w:rsid w:val="00C80030"/>
    <w:rsid w:val="00C853CB"/>
    <w:rsid w:val="00C97777"/>
    <w:rsid w:val="00CE4084"/>
    <w:rsid w:val="00CF265C"/>
    <w:rsid w:val="00D15836"/>
    <w:rsid w:val="00D218C3"/>
    <w:rsid w:val="00D232C7"/>
    <w:rsid w:val="00D36D26"/>
    <w:rsid w:val="00D670E9"/>
    <w:rsid w:val="00D85609"/>
    <w:rsid w:val="00DA631B"/>
    <w:rsid w:val="00DB2C31"/>
    <w:rsid w:val="00DB74B2"/>
    <w:rsid w:val="00DC4D41"/>
    <w:rsid w:val="00DF1453"/>
    <w:rsid w:val="00E30CD3"/>
    <w:rsid w:val="00E40196"/>
    <w:rsid w:val="00E412BD"/>
    <w:rsid w:val="00E54E40"/>
    <w:rsid w:val="00E60023"/>
    <w:rsid w:val="00E72472"/>
    <w:rsid w:val="00E749B7"/>
    <w:rsid w:val="00E82088"/>
    <w:rsid w:val="00E85A07"/>
    <w:rsid w:val="00E93703"/>
    <w:rsid w:val="00EC34E8"/>
    <w:rsid w:val="00ED1C99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3</cp:revision>
  <cp:lastPrinted>2010-09-28T14:31:00Z</cp:lastPrinted>
  <dcterms:created xsi:type="dcterms:W3CDTF">2013-02-25T15:08:00Z</dcterms:created>
  <dcterms:modified xsi:type="dcterms:W3CDTF">2013-02-25T15:08:00Z</dcterms:modified>
</cp:coreProperties>
</file>